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B73E97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B73E97">
        <w:rPr>
          <w:rFonts w:ascii="Sylfaen" w:hAnsi="Sylfaen"/>
          <w:b/>
          <w:sz w:val="28"/>
          <w:lang w:val="ka-GE"/>
        </w:rPr>
        <w:t>მთავრობის</w:t>
      </w:r>
      <w:r w:rsidR="005A44F5" w:rsidRPr="00B73E97">
        <w:rPr>
          <w:rFonts w:ascii="Sylfaen" w:hAnsi="Sylfaen"/>
          <w:b/>
          <w:sz w:val="28"/>
          <w:lang w:val="ka-GE"/>
        </w:rPr>
        <w:t xml:space="preserve"> ვალი</w:t>
      </w:r>
    </w:p>
    <w:p w:rsidR="00C50CA0" w:rsidRPr="00E60B55" w:rsidRDefault="00CC46C4" w:rsidP="00C50CA0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B73E97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B73E97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B73E97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0A1240" w:rsidRPr="00291229">
        <w:rPr>
          <w:rFonts w:ascii="Sylfaen" w:hAnsi="Sylfaen" w:cs="Sylfaen"/>
          <w:color w:val="000000" w:themeColor="text1"/>
          <w:sz w:val="20"/>
          <w:szCs w:val="18"/>
          <w:shd w:val="clear" w:color="auto" w:fill="FFFFFF"/>
          <w:lang w:val="ka-GE"/>
        </w:rPr>
        <w:t>განსაზღვრული</w:t>
      </w:r>
      <w:r w:rsidR="000A1240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0369D7" w:rsidRPr="000369D7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>ვალის ნაშთი</w:t>
      </w:r>
      <w:r w:rsidR="000369D7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0369D7" w:rsidRPr="000369D7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საჯარო და კერძო თანამშრომლობის კრიტერიუმების შესაბამისი პროექტების ფარგლებში აღებული </w:t>
      </w:r>
      <w:r w:rsidR="000369D7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ვალდებულებების მიმდინარე ღირებულების ჯამი </w:t>
      </w:r>
      <w:r w:rsidR="009B63F3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34625" w:rsidRPr="00E60B5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F2417" w:rsidRPr="00E60B55">
        <w:rPr>
          <w:rFonts w:ascii="Sylfaen" w:hAnsi="Sylfaen" w:cs="Sylfaen"/>
          <w:szCs w:val="21"/>
          <w:shd w:val="clear" w:color="auto" w:fill="FFFFFF"/>
          <w:lang w:val="ka-GE"/>
        </w:rPr>
        <w:t>21</w:t>
      </w:r>
      <w:r w:rsidR="00434625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4576F3" w:rsidRPr="00E60B55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EB0EE9" w:rsidRPr="00E60B5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4576F3" w:rsidRPr="00E60B55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434625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1A4349" w:rsidRPr="00E60B55">
        <w:rPr>
          <w:rFonts w:ascii="Sylfaen" w:hAnsi="Sylfaen" w:cs="Sylfaen"/>
          <w:szCs w:val="21"/>
          <w:shd w:val="clear" w:color="auto" w:fill="FFFFFF"/>
        </w:rPr>
        <w:t>29</w:t>
      </w:r>
      <w:r w:rsidR="008739E5" w:rsidRPr="00E60B5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60B55" w:rsidRPr="00E60B55">
        <w:rPr>
          <w:rFonts w:ascii="Sylfaen" w:hAnsi="Sylfaen" w:cs="Sylfaen"/>
          <w:szCs w:val="21"/>
          <w:shd w:val="clear" w:color="auto" w:fill="FFFFFF"/>
        </w:rPr>
        <w:t>326</w:t>
      </w:r>
      <w:r w:rsidR="00421440" w:rsidRPr="00E60B55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E60B55" w:rsidRPr="00E60B55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0369D7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E60B55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3800EA" w:rsidRPr="00E60B55">
        <w:rPr>
          <w:rFonts w:ascii="Sylfaen" w:hAnsi="Sylfaen" w:cs="Sylfaen"/>
          <w:szCs w:val="21"/>
          <w:shd w:val="clear" w:color="auto" w:fill="FFFFFF"/>
          <w:lang w:val="ka-GE"/>
        </w:rPr>
        <w:t>.</w:t>
      </w:r>
    </w:p>
    <w:p w:rsidR="009B63F3" w:rsidRDefault="003800EA" w:rsidP="00C50CA0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E60B55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="006F4202" w:rsidRPr="00E60B55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E60B55">
        <w:rPr>
          <w:rFonts w:ascii="Sylfaen" w:hAnsi="Sylfaen"/>
          <w:szCs w:val="21"/>
          <w:shd w:val="clear" w:color="auto" w:fill="FFFFFF"/>
          <w:lang w:val="ka-GE"/>
        </w:rPr>
        <w:t>„სახელმწიფო ვალის შესახებ“ საქართველოს კანონით გათვალისწინებულ სახელმწიფო ვალ</w:t>
      </w:r>
      <w:r w:rsidRPr="00E60B55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396821" w:rsidRPr="00E60B55">
        <w:rPr>
          <w:rFonts w:ascii="Sylfaen" w:hAnsi="Sylfaen"/>
          <w:szCs w:val="21"/>
          <w:shd w:val="clear" w:color="auto" w:fill="FFFFFF"/>
          <w:lang w:val="ka-GE"/>
        </w:rPr>
        <w:t xml:space="preserve">, გარდა საქართველოს ეროვნული ბანკის მიერ აღებული ვალდებულებებისა - </w:t>
      </w:r>
      <w:r w:rsidR="004576F3" w:rsidRPr="00E60B55">
        <w:rPr>
          <w:rFonts w:ascii="Sylfaen" w:hAnsi="Sylfaen"/>
          <w:szCs w:val="21"/>
          <w:shd w:val="clear" w:color="auto" w:fill="FFFFFF"/>
        </w:rPr>
        <w:t>28 891.</w:t>
      </w:r>
      <w:r w:rsidR="004576F3" w:rsidRPr="00E60B55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576F3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E60B55">
        <w:rPr>
          <w:rFonts w:ascii="Sylfaen" w:hAnsi="Sylfaen"/>
          <w:szCs w:val="21"/>
          <w:shd w:val="clear" w:color="auto" w:fill="FFFFFF"/>
          <w:lang w:val="ka-GE"/>
        </w:rPr>
        <w:t>მლნ ლარს</w:t>
      </w:r>
      <w:r w:rsidR="000E1BBD" w:rsidRPr="00E60B55">
        <w:rPr>
          <w:rFonts w:ascii="Sylfaen" w:hAnsi="Sylfaen"/>
          <w:szCs w:val="21"/>
          <w:shd w:val="clear" w:color="auto" w:fill="FFFFFF"/>
          <w:lang w:val="ka-GE"/>
        </w:rPr>
        <w:t>,</w:t>
      </w:r>
      <w:r w:rsidR="00396821" w:rsidRPr="00E60B55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E60B55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E60B55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</w:t>
      </w:r>
      <w:r w:rsidR="00C50CA0" w:rsidRPr="00E60B55">
        <w:rPr>
          <w:rFonts w:ascii="Sylfaen" w:hAnsi="Sylfaen"/>
          <w:szCs w:val="21"/>
          <w:shd w:val="clear" w:color="auto" w:fill="FFFFFF"/>
          <w:lang w:val="ka-GE"/>
        </w:rPr>
        <w:t>ებ</w:t>
      </w:r>
      <w:r w:rsidR="0087661E" w:rsidRPr="00E60B55">
        <w:rPr>
          <w:rFonts w:ascii="Sylfaen" w:hAnsi="Sylfaen"/>
          <w:szCs w:val="21"/>
          <w:shd w:val="clear" w:color="auto" w:fill="FFFFFF"/>
          <w:lang w:val="ka-GE"/>
        </w:rPr>
        <w:t xml:space="preserve">ის  </w:t>
      </w:r>
      <w:r w:rsidR="00914D8C" w:rsidRPr="00E60B55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E60B55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E60B55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E60B55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421440" w:rsidRPr="00E60B55">
        <w:rPr>
          <w:rFonts w:ascii="Sylfaen" w:hAnsi="Sylfaen"/>
          <w:szCs w:val="21"/>
          <w:shd w:val="clear" w:color="auto" w:fill="FFFFFF"/>
          <w:lang w:val="ka-GE"/>
        </w:rPr>
        <w:t>-</w:t>
      </w:r>
      <w:r w:rsidR="004576F3" w:rsidRPr="00E60B55">
        <w:rPr>
          <w:rFonts w:ascii="Sylfaen" w:hAnsi="Sylfaen"/>
          <w:szCs w:val="21"/>
          <w:shd w:val="clear" w:color="auto" w:fill="FFFFFF"/>
          <w:lang w:val="ka-GE"/>
        </w:rPr>
        <w:t>38</w:t>
      </w:r>
      <w:r w:rsidR="00421440" w:rsidRPr="00E60B55">
        <w:rPr>
          <w:rFonts w:ascii="Sylfaen" w:hAnsi="Sylfaen"/>
          <w:szCs w:val="21"/>
          <w:shd w:val="clear" w:color="auto" w:fill="FFFFFF"/>
          <w:lang w:val="ka-GE"/>
        </w:rPr>
        <w:t>.</w:t>
      </w:r>
      <w:r w:rsidR="004576F3" w:rsidRPr="00E60B55">
        <w:rPr>
          <w:rFonts w:ascii="Sylfaen" w:hAnsi="Sylfaen"/>
          <w:szCs w:val="21"/>
          <w:shd w:val="clear" w:color="auto" w:fill="FFFFFF"/>
          <w:lang w:val="ka-GE"/>
        </w:rPr>
        <w:t>8</w:t>
      </w:r>
      <w:r w:rsidR="00914D8C" w:rsidRPr="00E60B55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0369D7" w:rsidRPr="00E60B55">
        <w:rPr>
          <w:rFonts w:ascii="Sylfaen" w:hAnsi="Sylfaen"/>
          <w:szCs w:val="21"/>
          <w:shd w:val="clear" w:color="auto" w:fill="FFFFFF"/>
          <w:lang w:val="ka-GE"/>
        </w:rPr>
        <w:t xml:space="preserve">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</w:t>
      </w:r>
      <w:r w:rsidR="00D63FD8" w:rsidRPr="00E60B55">
        <w:rPr>
          <w:rFonts w:ascii="Sylfaen" w:hAnsi="Sylfaen"/>
          <w:szCs w:val="21"/>
          <w:shd w:val="clear" w:color="auto" w:fill="FFFFFF"/>
          <w:lang w:val="ka-GE"/>
        </w:rPr>
        <w:t xml:space="preserve">- </w:t>
      </w:r>
      <w:r w:rsidR="000369D7" w:rsidRPr="00E60B55">
        <w:rPr>
          <w:rFonts w:ascii="Sylfaen" w:hAnsi="Sylfaen"/>
          <w:szCs w:val="21"/>
          <w:shd w:val="clear" w:color="auto" w:fill="FFFFFF"/>
          <w:lang w:val="ka-GE"/>
        </w:rPr>
        <w:t>395.4</w:t>
      </w:r>
      <w:r w:rsidR="000369D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</w:p>
    <w:p w:rsidR="00C50CA0" w:rsidRPr="001E1573" w:rsidRDefault="00C50CA0" w:rsidP="00C50CA0">
      <w:pPr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0369D7" w:rsidRPr="000369D7" w:rsidRDefault="000369D7" w:rsidP="00D62E87">
      <w:pPr>
        <w:spacing w:line="240" w:lineRule="auto"/>
        <w:ind w:firstLine="720"/>
        <w:jc w:val="both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0369D7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:rsidR="006F4202" w:rsidRPr="00B73E97" w:rsidRDefault="00D63FD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D63FD8">
        <w:rPr>
          <w:rFonts w:ascii="Sylfaen" w:hAnsi="Sylfaen"/>
          <w:szCs w:val="21"/>
          <w:shd w:val="clear" w:color="auto" w:fill="FFFFFF"/>
          <w:lang w:val="ka-GE"/>
        </w:rPr>
        <w:t xml:space="preserve">2021 წლის </w:t>
      </w:r>
      <w:r w:rsidR="004576F3">
        <w:rPr>
          <w:rFonts w:ascii="Sylfaen" w:hAnsi="Sylfaen"/>
          <w:szCs w:val="21"/>
          <w:shd w:val="clear" w:color="auto" w:fill="FFFFFF"/>
        </w:rPr>
        <w:t>30</w:t>
      </w:r>
      <w:r w:rsidRPr="00D63FD8">
        <w:rPr>
          <w:rFonts w:ascii="Sylfaen" w:hAnsi="Sylfaen"/>
          <w:szCs w:val="21"/>
          <w:shd w:val="clear" w:color="auto" w:fill="FFFFFF"/>
        </w:rPr>
        <w:t xml:space="preserve"> </w:t>
      </w:r>
      <w:r w:rsidR="004576F3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4576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D63FD8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DB657D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>საგარეო ვალის ნაშთი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 xml:space="preserve"> შეადგენს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4576F3">
        <w:rPr>
          <w:rFonts w:ascii="Sylfaen" w:hAnsi="Sylfaen"/>
          <w:szCs w:val="21"/>
          <w:shd w:val="clear" w:color="auto" w:fill="FFFFFF"/>
          <w:lang w:val="ka-GE"/>
        </w:rPr>
        <w:t>23</w:t>
      </w:r>
      <w:r w:rsidR="004576F3">
        <w:rPr>
          <w:rFonts w:ascii="Sylfaen" w:hAnsi="Sylfaen"/>
          <w:szCs w:val="21"/>
          <w:shd w:val="clear" w:color="auto" w:fill="FFFFFF"/>
        </w:rPr>
        <w:t xml:space="preserve"> 423.5</w:t>
      </w:r>
      <w:r w:rsidR="004576F3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ლარ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>,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 xml:space="preserve">რომელიც 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3C2FBC" w:rsidRPr="00B73E97">
        <w:rPr>
          <w:rFonts w:ascii="Sylfaen" w:hAnsi="Sylfaen" w:cs="Sylfaen"/>
          <w:szCs w:val="21"/>
          <w:shd w:val="clear" w:color="auto" w:fill="FFFFFF"/>
        </w:rPr>
        <w:t>მთლიანი</w:t>
      </w:r>
      <w:r w:rsidR="003C2FB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81</w:t>
      </w:r>
      <w:r w:rsidR="006F4202" w:rsidRPr="00B73E97">
        <w:rPr>
          <w:rFonts w:ascii="Sylfaen" w:hAnsi="Sylfaen"/>
          <w:szCs w:val="21"/>
          <w:shd w:val="clear" w:color="auto" w:fill="FFFFFF"/>
        </w:rPr>
        <w:t>%-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საკრედიტო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რესურსის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დიდი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ნაწილი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მიღებულია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ორმხრივი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საკონტრაქტო ვადიანობა შეადგენს 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2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0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  <w:r w:rsidR="004576F3">
        <w:rPr>
          <w:rFonts w:ascii="Sylfaen" w:hAnsi="Sylfaen"/>
          <w:szCs w:val="21"/>
          <w:shd w:val="clear" w:color="auto" w:fill="FFFFFF"/>
          <w:lang w:val="ka-GE"/>
        </w:rPr>
        <w:t>8</w:t>
      </w:r>
      <w:r w:rsidR="00C126E1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</w:rPr>
        <w:t>წელს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1A4349">
        <w:rPr>
          <w:rFonts w:ascii="Sylfaen" w:hAnsi="Sylfaen"/>
          <w:szCs w:val="21"/>
          <w:shd w:val="clear" w:color="auto" w:fill="FFFFFF"/>
          <w:lang w:val="ka-GE"/>
        </w:rPr>
        <w:t>9</w:t>
      </w:r>
      <w:r w:rsidR="004576F3">
        <w:rPr>
          <w:rFonts w:ascii="Sylfaen" w:hAnsi="Sylfaen"/>
          <w:szCs w:val="21"/>
          <w:shd w:val="clear" w:color="auto" w:fill="FFFFFF"/>
          <w:lang w:val="ka-GE"/>
        </w:rPr>
        <w:t>.1</w:t>
      </w:r>
      <w:r w:rsidR="00C126E1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1E1573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0A7B97" w:rsidRPr="00B73E97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4576F3">
        <w:rPr>
          <w:rFonts w:ascii="Sylfaen" w:hAnsi="Sylfaen" w:cs="Sylfaen"/>
          <w:szCs w:val="21"/>
          <w:shd w:val="clear" w:color="auto" w:fill="FFFFFF"/>
          <w:lang w:val="ka-GE"/>
        </w:rPr>
        <w:t>97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421440" w:rsidRDefault="00322857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 w:rsidRPr="00B73E97">
        <w:rPr>
          <w:noProof/>
        </w:rPr>
        <w:drawing>
          <wp:anchor distT="0" distB="0" distL="114300" distR="114300" simplePos="0" relativeHeight="251663360" behindDoc="0" locked="0" layoutInCell="1" allowOverlap="1" wp14:anchorId="6F0161C5" wp14:editId="2310C698">
            <wp:simplePos x="0" y="0"/>
            <wp:positionH relativeFrom="column">
              <wp:posOffset>485775</wp:posOffset>
            </wp:positionH>
            <wp:positionV relativeFrom="paragraph">
              <wp:posOffset>283210</wp:posOffset>
            </wp:positionV>
            <wp:extent cx="3314700" cy="1447800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821" w:rsidRPr="00B73E97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9F6ACB" wp14:editId="5FD0C2B7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E2849" w:rsidRPr="00A33B48" w:rsidRDefault="00DE284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DE2849" w:rsidRPr="001E1573" w:rsidRDefault="00DE284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97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DE2849" w:rsidRPr="00A33B48" w:rsidRDefault="00DE284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1E1573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საკონტრაქტო ვადიანობა 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:rsidR="00DE2849" w:rsidRPr="00DE4001" w:rsidRDefault="00DE284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9.1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F6ACB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DE2849" w:rsidRPr="00A33B48" w:rsidRDefault="00DE284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DE2849" w:rsidRPr="001E1573" w:rsidRDefault="00DE284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97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DE2849" w:rsidRPr="00A33B48" w:rsidRDefault="00DE284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1E1573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საკონტრაქტო ვადიანობა 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:rsidR="00DE2849" w:rsidRPr="00DE4001" w:rsidRDefault="00DE284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9.1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84855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>20</w:t>
      </w:r>
      <w:r w:rsidR="000A7B97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>2</w:t>
      </w:r>
      <w:r w:rsidR="001E1573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>1</w:t>
      </w:r>
      <w:r w:rsidR="008D1F2B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CB36D7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4576F3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4576F3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>სექტემბრის</w:t>
      </w:r>
      <w:r w:rsidR="004576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22857" w:rsidRDefault="00322857" w:rsidP="00322857">
      <w:pPr>
        <w:spacing w:line="240" w:lineRule="auto"/>
        <w:ind w:firstLine="720"/>
        <w:jc w:val="both"/>
        <w:rPr>
          <w:rFonts w:ascii="Sylfaen" w:hAnsi="Sylfaen"/>
          <w:lang w:val="ka-GE"/>
        </w:rPr>
      </w:pPr>
    </w:p>
    <w:p w:rsidR="006F4202" w:rsidRPr="00B73E97" w:rsidRDefault="004576F3" w:rsidP="0032285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D63FD8">
        <w:rPr>
          <w:rFonts w:ascii="Sylfaen" w:hAnsi="Sylfaen"/>
          <w:szCs w:val="21"/>
          <w:shd w:val="clear" w:color="auto" w:fill="FFFFFF"/>
          <w:lang w:val="ka-GE"/>
        </w:rPr>
        <w:t xml:space="preserve">2021 წლის </w:t>
      </w:r>
      <w:r>
        <w:rPr>
          <w:rFonts w:ascii="Sylfaen" w:hAnsi="Sylfaen"/>
          <w:szCs w:val="21"/>
          <w:shd w:val="clear" w:color="auto" w:fill="FFFFFF"/>
        </w:rPr>
        <w:t>30</w:t>
      </w:r>
      <w:r w:rsidRPr="00D63FD8">
        <w:rPr>
          <w:rFonts w:ascii="Sylfaen" w:hAnsi="Sylfaen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A552F9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საგარეო ვალის პორტფელის </w:t>
      </w:r>
      <w:r w:rsidR="00B7447C" w:rsidRPr="00B73E97">
        <w:rPr>
          <w:rFonts w:ascii="Sylfaen" w:hAnsi="Sylfaen" w:cs="Sylfaen"/>
          <w:szCs w:val="21"/>
          <w:shd w:val="clear" w:color="auto" w:fill="FFFFFF"/>
        </w:rPr>
        <w:t>5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% შედგება ფიქსირებული საპროცენტო განაკვეთის მქონე კრედიტებისგან. ეს გარემოება ხელს უწყობს საქართველოს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დონეზე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E165DE" w:rsidRPr="00B73E97">
        <w:rPr>
          <w:rFonts w:ascii="Sylfaen" w:hAnsi="Sylfaen" w:cs="Sylfaen"/>
          <w:szCs w:val="21"/>
          <w:shd w:val="clear" w:color="auto" w:fill="FFFFFF"/>
        </w:rPr>
        <w:t>2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 </w:t>
      </w:r>
    </w:p>
    <w:p w:rsidR="00A93CD1" w:rsidRPr="00B73E97" w:rsidRDefault="00C50CA0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6CABF91" wp14:editId="0B241CC2">
            <wp:simplePos x="0" y="0"/>
            <wp:positionH relativeFrom="column">
              <wp:posOffset>693420</wp:posOffset>
            </wp:positionH>
            <wp:positionV relativeFrom="paragraph">
              <wp:posOffset>6350</wp:posOffset>
            </wp:positionV>
            <wp:extent cx="22288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15" y="21308"/>
                <wp:lineTo x="21415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857">
        <w:rPr>
          <w:noProof/>
        </w:rPr>
        <w:drawing>
          <wp:anchor distT="0" distB="0" distL="114300" distR="114300" simplePos="0" relativeHeight="251664384" behindDoc="1" locked="0" layoutInCell="1" allowOverlap="1" wp14:anchorId="036FF45B" wp14:editId="78FDEB2C">
            <wp:simplePos x="0" y="0"/>
            <wp:positionH relativeFrom="column">
              <wp:posOffset>3939540</wp:posOffset>
            </wp:positionH>
            <wp:positionV relativeFrom="paragraph">
              <wp:posOffset>5080</wp:posOffset>
            </wp:positionV>
            <wp:extent cx="181292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35" y="21308"/>
                <wp:lineTo x="21335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570C98" w:rsidRPr="00B73E97">
        <w:rPr>
          <w:rFonts w:ascii="Sylfaen" w:hAnsi="Sylfaen"/>
          <w:lang w:val="ka-GE"/>
        </w:rPr>
        <w:t xml:space="preserve">  </w:t>
      </w:r>
    </w:p>
    <w:p w:rsidR="006042C4" w:rsidRPr="00B73E97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B73E97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br w:type="page"/>
      </w:r>
    </w:p>
    <w:p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t>მთავრობის</w:t>
      </w:r>
      <w:r w:rsidR="00071D1D" w:rsidRPr="00B73E97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="004576F3" w:rsidRPr="004576F3">
        <w:rPr>
          <w:rFonts w:ascii="Sylfaen" w:hAnsi="Sylfaen"/>
          <w:b/>
          <w:lang w:val="ka-GE"/>
        </w:rPr>
        <w:t>2021 წლის 30 სექტემბრის</w:t>
      </w:r>
      <w:r w:rsidR="004576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71D1D" w:rsidRPr="00B73E97">
        <w:rPr>
          <w:rFonts w:ascii="Sylfaen" w:hAnsi="Sylfaen"/>
          <w:b/>
          <w:lang w:val="ka-GE"/>
        </w:rPr>
        <w:t>მდგომარეობით</w:t>
      </w:r>
    </w:p>
    <w:p w:rsidR="004E767B" w:rsidRDefault="004E767B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750"/>
        <w:gridCol w:w="1222"/>
        <w:gridCol w:w="1180"/>
        <w:gridCol w:w="1495"/>
        <w:gridCol w:w="993"/>
        <w:gridCol w:w="949"/>
      </w:tblGrid>
      <w:tr w:rsidR="004E767B" w:rsidTr="0040412C">
        <w:trPr>
          <w:trHeight w:hRule="exact" w:val="701"/>
          <w:tblHeader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Default="004E767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4"/>
              </w:rPr>
              <w:t xml:space="preserve">კრედიტორი 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Default="004E767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კრედიტის ვალუტა 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4E767B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ნაშთი ათასი     აშშ დოლარი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Default="004E767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ნაშთი ათასი   ლარი 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Default="004E767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საპროცენტო განაკვეთი 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hideMark/>
          </w:tcPr>
          <w:p w:rsidR="004E767B" w:rsidRDefault="004E767B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საპროცენტო განაკვეთი მოცემული თარიღისათვის 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bottom"/>
            <w:hideMark/>
          </w:tcPr>
          <w:p w:rsidR="004E767B" w:rsidRDefault="004E767B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შეწონილი საპროცენტო განაკვეთი </w:t>
            </w:r>
          </w:p>
        </w:tc>
      </w:tr>
      <w:tr w:rsidR="004E767B" w:rsidTr="0040412C">
        <w:trPr>
          <w:trHeight w:hRule="exact" w:val="269"/>
          <w:jc w:val="center"/>
        </w:trPr>
        <w:tc>
          <w:tcPr>
            <w:tcW w:w="2090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FB5423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მთავრობის საგარეო ვალი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7,500,802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23,423,505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4E767B" w:rsidTr="0040412C">
        <w:trPr>
          <w:trHeight w:hRule="exact" w:val="216"/>
          <w:jc w:val="center"/>
        </w:trPr>
        <w:tc>
          <w:tcPr>
            <w:tcW w:w="2090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>მრავალმხრივი კრედიტორები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5,444,602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17,002,403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განვითარების საერთაშორისო ასოციაცია(WB - IDA)</w:t>
            </w: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604,188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1,886,760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0.060%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235,398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735,102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0.063%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8,690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27,138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2.15%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განვითარების საერთაშორისო ასოციაცია(WB - IBRD)</w:t>
            </w: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104,932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327,681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1.39%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0.019%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261</w:t>
            </w:r>
          </w:p>
        </w:tc>
        <w:tc>
          <w:tcPr>
            <w:tcW w:w="745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Euribor+VS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121,049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378,012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0.51%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91,198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284,793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0.72%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512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1,599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0.83%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154,623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482,857</w:t>
            </w:r>
          </w:p>
        </w:tc>
        <w:tc>
          <w:tcPr>
            <w:tcW w:w="745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Libor+VS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0.48%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40,996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128,022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0.68%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316,323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987,814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0.88%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0.037%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26,671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83,289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0.92%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52,473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163,862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0.94%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8,422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26,300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0.95%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64,323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200,867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1.10%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77,267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241,289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1.18%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6,795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21,220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1.24%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120,000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374,736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1.25%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0.020%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17,332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54,125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10,911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34,072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3,463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10,814.35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(SDR Libor + IBRD VS)/2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0.71%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6,105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19,064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Euribor+VS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1.02%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:rsidTr="0040412C">
        <w:trPr>
          <w:trHeight w:hRule="exact" w:val="494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საერთაშორისო სავალუტო ფონდი (IMF EFF,MOF)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207,104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646,745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1.05%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0.029%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 xml:space="preserve">ევროგაერთიანება </w:t>
            </w:r>
            <w:r w:rsidRPr="00FB5423">
              <w:rPr>
                <w:rFonts w:ascii="Calibri" w:hAnsi="Calibri" w:cs="Calibri"/>
                <w:color w:val="000000"/>
                <w:sz w:val="16"/>
                <w:szCs w:val="16"/>
              </w:rPr>
              <w:t>(EU)</w:t>
            </w: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110,761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345,886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0.13%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11,659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36,409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0.52%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15,157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47,332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1.16%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17,489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54,614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1.25%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:rsidTr="0040412C">
        <w:trPr>
          <w:trHeight w:hRule="exact" w:val="431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ევროპის რეკონსტრუქციის და განვითარების ბანკი (EBRD)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236,567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738,750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Euribor+ 1%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0.92%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0.029%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აზიის განვითარების ბანკი (ADB)</w:t>
            </w: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58,121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181,499</w:t>
            </w:r>
          </w:p>
        </w:tc>
        <w:tc>
          <w:tcPr>
            <w:tcW w:w="745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300,139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937,275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1.50%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0.060%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28,749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89,776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1.60%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212,707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664,242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0.057%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107,616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336,062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0.23%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82,733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258,358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0.32%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199,164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621,949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0.38%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18,760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58,585</w:t>
            </w:r>
          </w:p>
        </w:tc>
        <w:tc>
          <w:tcPr>
            <w:tcW w:w="745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Euribor+FS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174,018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543,423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99,251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309,942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0.21%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49,453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154,432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0.63%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564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1,762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0.67%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33,333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104,093</w:t>
            </w:r>
          </w:p>
        </w:tc>
        <w:tc>
          <w:tcPr>
            <w:tcW w:w="745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Libor+FS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0.50%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65,540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204,667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0.56%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41,667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130,117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0.66%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11,333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35,392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66,346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207,184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0.77%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48,512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151,495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0.86%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73,834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230,568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0.88%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60,302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188,311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0.92%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აზიის ინფრასტრუქტურის განვითარების ბანკი (AIIB)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43,801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136,783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Libor+VS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1.59%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52,466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163,841</w:t>
            </w:r>
          </w:p>
        </w:tc>
        <w:tc>
          <w:tcPr>
            <w:tcW w:w="745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Euribor+VS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94,318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294,535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0.46%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ევროსაბჭოს განვითარების ბანკი (CEB)</w:t>
            </w: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2,088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6,520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0.39%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1,051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3,282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Euribor+VS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ევროპის საინვესტიციო ბანკი(EIB)</w:t>
            </w: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99,102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309,477</w:t>
            </w:r>
          </w:p>
        </w:tc>
        <w:tc>
          <w:tcPr>
            <w:tcW w:w="745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0.33%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33,228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103,766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0.49%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75,784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236,659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0.57%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4,270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13,335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0.73%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33,055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103,225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0.86%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59,461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185,686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11,659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36,409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1.65%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24,371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76,107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1.69%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23,318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72,818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1.94%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358,517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1,119,577</w:t>
            </w:r>
          </w:p>
        </w:tc>
        <w:tc>
          <w:tcPr>
            <w:tcW w:w="745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Euribor+FS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60,921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190,244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0.23%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11,881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37,101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0.24%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10,290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32,134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0.30%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36,695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114,592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0.31%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3,498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10,923</w:t>
            </w:r>
          </w:p>
        </w:tc>
        <w:tc>
          <w:tcPr>
            <w:tcW w:w="745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0.34%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431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2,191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6,843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Euribor+VS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:rsidTr="0040412C">
        <w:trPr>
          <w:trHeight w:hRule="exact" w:val="278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>ორმხრივი კრედიტორები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1,554,656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4,854,880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ავსტრია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17,551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54,809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აზერბაიჯანი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4,400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13,740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თურქმენეთი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211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659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თურქეთი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8,529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26,634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3.13%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ირანი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3,265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10,196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რუსეთი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31,570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98,586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0.017%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სომხეთი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4,210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13,146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უზბეკეთი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უკრაინა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ყაზახეთი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5,374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16,781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 xml:space="preserve"> ჩინეთი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CNY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464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1,449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გერმანია (KfW)</w:t>
            </w: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4,392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13,715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Euribor+ 0.3%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127,084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396,858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Euribor+ 0.72%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104,932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327,681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0.65%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119,888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374,386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209,864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655,362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0.85%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0.024%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31,513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98,409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1.65%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48,081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150,146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0.013%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21,378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66,759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2.20%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11,158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34,843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20,403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63,716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5.70%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0.016%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7,421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23,174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6.68%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იაპონია</w:t>
            </w: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JPY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25,461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79,509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129,383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404,039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0.65%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0.011%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950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2,966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1.30%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25,301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79,011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1.40%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15,165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47,356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2.30%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კუვეიტი</w:t>
            </w: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KWD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3,551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11,088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6,168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19,262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ნიდერლანდები</w:t>
            </w: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313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128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400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5.10%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აშშ</w:t>
            </w: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120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1.50%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6,256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19,535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3,057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9,548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2.25%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5,360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16,738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5708BF" w:rsidTr="0040412C">
        <w:trPr>
          <w:trHeight w:hRule="exact" w:val="216"/>
          <w:jc w:val="center"/>
        </w:trPr>
        <w:tc>
          <w:tcPr>
            <w:tcW w:w="1716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საფრანგეთი</w:t>
            </w:r>
          </w:p>
        </w:tc>
        <w:tc>
          <w:tcPr>
            <w:tcW w:w="374" w:type="pct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13,758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42,963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0.17%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221,523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691,771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0.42%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20,731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64,738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1.10%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10,611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33,137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1.27%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16,693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52,128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1.41%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250,670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782,794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0.25%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4E767B" w:rsidRPr="009D671A" w:rsidTr="0040412C">
        <w:trPr>
          <w:trHeight w:hRule="exact" w:val="216"/>
          <w:jc w:val="center"/>
        </w:trPr>
        <w:tc>
          <w:tcPr>
            <w:tcW w:w="1716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18,015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56,257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Euribor + 1.05%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1.05%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4E767B" w:rsidRPr="009D671A" w:rsidTr="0040412C">
        <w:trPr>
          <w:trHeight w:hRule="exact" w:val="296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>ფასიანი ქაღალდები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1,561,400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E767B" w:rsidRPr="009D671A" w:rsidTr="0040412C">
        <w:trPr>
          <w:trHeight w:hRule="exact" w:val="359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ევრობონდი 2021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500,000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1,561,400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2.750%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0.183%</w:t>
            </w:r>
          </w:p>
        </w:tc>
      </w:tr>
      <w:tr w:rsidR="004E767B" w:rsidRPr="009D671A" w:rsidTr="0040412C">
        <w:trPr>
          <w:trHeight w:hRule="exact" w:val="269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B5423">
              <w:rPr>
                <w:rFonts w:ascii="Calibri" w:hAnsi="Calibri" w:cs="Calibri"/>
                <w:b/>
                <w:bCs/>
                <w:sz w:val="16"/>
                <w:szCs w:val="16"/>
              </w:rPr>
              <w:t>გარანტირებული კრედიტები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1,544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671A">
              <w:rPr>
                <w:rFonts w:ascii="Calibri" w:hAnsi="Calibri" w:cs="Calibri"/>
                <w:b/>
                <w:bCs/>
                <w:sz w:val="16"/>
                <w:szCs w:val="16"/>
              </w:rPr>
              <w:t>4,821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BFBFB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E767B" w:rsidRPr="009D671A" w:rsidTr="0040412C">
        <w:trPr>
          <w:trHeight w:hRule="exact" w:val="269"/>
          <w:jc w:val="center"/>
        </w:trPr>
        <w:tc>
          <w:tcPr>
            <w:tcW w:w="1716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 w:rsidP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გერმანია (KfW)</w:t>
            </w:r>
          </w:p>
        </w:tc>
        <w:tc>
          <w:tcPr>
            <w:tcW w:w="3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vAlign w:val="center"/>
            <w:hideMark/>
          </w:tcPr>
          <w:p w:rsidR="004E767B" w:rsidRPr="00FB5423" w:rsidRDefault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09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1,544</w:t>
            </w:r>
          </w:p>
        </w:tc>
        <w:tc>
          <w:tcPr>
            <w:tcW w:w="588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5708BF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4,821</w:t>
            </w:r>
          </w:p>
        </w:tc>
        <w:tc>
          <w:tcPr>
            <w:tcW w:w="74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5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9D671A" w:rsidRDefault="004E767B" w:rsidP="004E76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671A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4E767B" w:rsidTr="0040412C">
        <w:trPr>
          <w:trHeight w:hRule="exact" w:val="269"/>
          <w:jc w:val="center"/>
        </w:trPr>
        <w:tc>
          <w:tcPr>
            <w:tcW w:w="2090" w:type="pct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000000" w:fill="FFFFFF"/>
            <w:noWrap/>
            <w:vAlign w:val="center"/>
            <w:hideMark/>
          </w:tcPr>
          <w:p w:rsidR="004E767B" w:rsidRPr="00FB5423" w:rsidRDefault="004E767B">
            <w:pPr>
              <w:rPr>
                <w:rFonts w:ascii="Calibri" w:hAnsi="Calibri" w:cs="Calibri"/>
                <w:sz w:val="16"/>
                <w:szCs w:val="16"/>
              </w:rPr>
            </w:pPr>
            <w:r w:rsidRPr="00FB542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37" w:type="pct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:rsidR="004E767B" w:rsidRDefault="004E767B" w:rsidP="004E767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საშუალო შეწონილი საპროცენტო განაკვეთი</w:t>
            </w:r>
          </w:p>
        </w:tc>
        <w:tc>
          <w:tcPr>
            <w:tcW w:w="474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:rsidR="004E767B" w:rsidRDefault="004E767B" w:rsidP="004E767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0.97%</w:t>
            </w:r>
          </w:p>
        </w:tc>
      </w:tr>
    </w:tbl>
    <w:p w:rsidR="002E358C" w:rsidRPr="00B73E97" w:rsidRDefault="002E358C" w:rsidP="004E767B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9139F2" w:rsidRPr="00527AC4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A405DB" w:rsidRPr="00527AC4" w:rsidRDefault="000A05E4" w:rsidP="00E844CA">
      <w:pPr>
        <w:pStyle w:val="Default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527AC4">
        <w:rPr>
          <w:color w:val="auto"/>
          <w:sz w:val="22"/>
          <w:szCs w:val="21"/>
          <w:shd w:val="clear" w:color="auto" w:fill="FFFFFF"/>
          <w:lang w:val="ka-GE"/>
        </w:rPr>
        <w:t>202</w:t>
      </w:r>
      <w:r w:rsidR="00C70518" w:rsidRPr="00527AC4">
        <w:rPr>
          <w:color w:val="auto"/>
          <w:sz w:val="22"/>
          <w:szCs w:val="21"/>
          <w:shd w:val="clear" w:color="auto" w:fill="FFFFFF"/>
          <w:lang w:val="ka-GE"/>
        </w:rPr>
        <w:t>2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წლის სახელმწიფო ბიუჯეტის 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</w:t>
      </w:r>
      <w:r w:rsidRPr="005708BF">
        <w:rPr>
          <w:color w:val="auto"/>
          <w:sz w:val="22"/>
          <w:szCs w:val="21"/>
          <w:lang w:val="ka-GE"/>
        </w:rPr>
        <w:t xml:space="preserve">საინვესტიციო კრედიტების ათვისებას </w:t>
      </w:r>
      <w:r w:rsidR="00C70518" w:rsidRPr="005708BF">
        <w:rPr>
          <w:color w:val="auto"/>
          <w:sz w:val="22"/>
          <w:szCs w:val="21"/>
          <w:lang w:val="ka-GE"/>
        </w:rPr>
        <w:t xml:space="preserve">1 </w:t>
      </w:r>
      <w:r w:rsidR="00E844CA" w:rsidRPr="005708BF">
        <w:rPr>
          <w:color w:val="auto"/>
          <w:sz w:val="22"/>
          <w:szCs w:val="21"/>
          <w:lang w:val="ka-GE"/>
        </w:rPr>
        <w:t>848 4</w:t>
      </w:r>
      <w:r w:rsidR="00C70518" w:rsidRPr="005708BF">
        <w:rPr>
          <w:color w:val="auto"/>
          <w:sz w:val="22"/>
          <w:szCs w:val="21"/>
          <w:lang w:val="ka-GE"/>
        </w:rPr>
        <w:t>70.0</w:t>
      </w:r>
      <w:r w:rsidRPr="005708BF">
        <w:rPr>
          <w:color w:val="auto"/>
          <w:sz w:val="22"/>
          <w:szCs w:val="21"/>
          <w:lang w:val="ka-GE"/>
        </w:rPr>
        <w:t xml:space="preserve"> ათასი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ლარის ოდენობით. </w:t>
      </w:r>
      <w:r w:rsidR="002A0BB1"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ასევე, 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ბიუჯეტის მხარდამჭერი რესურსის სახით</w:t>
      </w:r>
      <w:r w:rsidR="00A405DB"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თანხების </w:t>
      </w:r>
      <w:r w:rsidR="00A405DB" w:rsidRPr="00B90038">
        <w:rPr>
          <w:color w:val="auto"/>
          <w:sz w:val="22"/>
          <w:szCs w:val="21"/>
          <w:shd w:val="clear" w:color="auto" w:fill="FFFFFF"/>
          <w:lang w:val="ka-GE"/>
        </w:rPr>
        <w:t>მობილიზებას</w:t>
      </w:r>
      <w:r w:rsidR="00C70518" w:rsidRPr="00B90038">
        <w:rPr>
          <w:color w:val="auto"/>
          <w:sz w:val="22"/>
          <w:szCs w:val="21"/>
          <w:shd w:val="clear" w:color="auto" w:fill="FFFFFF"/>
          <w:lang w:val="ka-GE"/>
        </w:rPr>
        <w:t xml:space="preserve"> </w:t>
      </w:r>
      <w:r w:rsidR="00527AC4" w:rsidRPr="00B90038">
        <w:rPr>
          <w:color w:val="auto"/>
          <w:sz w:val="22"/>
          <w:szCs w:val="21"/>
          <w:shd w:val="clear" w:color="auto" w:fill="FFFFFF"/>
          <w:lang w:val="ka-GE"/>
        </w:rPr>
        <w:t>1</w:t>
      </w:r>
      <w:r w:rsidR="00C70518" w:rsidRPr="00B90038">
        <w:rPr>
          <w:color w:val="auto"/>
          <w:sz w:val="22"/>
          <w:szCs w:val="21"/>
          <w:shd w:val="clear" w:color="auto" w:fill="FFFFFF"/>
          <w:lang w:val="ka-GE"/>
        </w:rPr>
        <w:t xml:space="preserve"> </w:t>
      </w:r>
      <w:r w:rsidR="00527AC4" w:rsidRPr="00B90038">
        <w:rPr>
          <w:color w:val="auto"/>
          <w:sz w:val="22"/>
          <w:szCs w:val="21"/>
          <w:shd w:val="clear" w:color="auto" w:fill="FFFFFF"/>
          <w:lang w:val="ka-GE"/>
        </w:rPr>
        <w:t>2</w:t>
      </w:r>
      <w:r w:rsidR="00C70518" w:rsidRPr="00B90038">
        <w:rPr>
          <w:color w:val="auto"/>
          <w:sz w:val="22"/>
          <w:szCs w:val="21"/>
          <w:shd w:val="clear" w:color="auto" w:fill="FFFFFF"/>
          <w:lang w:val="ka-GE"/>
        </w:rPr>
        <w:t>00</w:t>
      </w:r>
      <w:r w:rsidR="002A0BB1" w:rsidRPr="00B90038">
        <w:rPr>
          <w:color w:val="auto"/>
          <w:sz w:val="22"/>
          <w:szCs w:val="21"/>
          <w:shd w:val="clear" w:color="auto" w:fill="FFFFFF"/>
          <w:lang w:val="ka-GE"/>
        </w:rPr>
        <w:t xml:space="preserve"> 000.0 </w:t>
      </w:r>
      <w:r w:rsidR="002D596E" w:rsidRPr="00B90038">
        <w:rPr>
          <w:color w:val="auto"/>
          <w:sz w:val="22"/>
          <w:szCs w:val="21"/>
          <w:shd w:val="clear" w:color="auto" w:fill="FFFFFF"/>
          <w:lang w:val="ka-GE"/>
        </w:rPr>
        <w:t xml:space="preserve">ათასი </w:t>
      </w:r>
      <w:r w:rsidR="002A0BB1" w:rsidRPr="00B90038">
        <w:rPr>
          <w:color w:val="auto"/>
          <w:sz w:val="22"/>
          <w:szCs w:val="21"/>
          <w:shd w:val="clear" w:color="auto" w:fill="FFFFFF"/>
          <w:lang w:val="ka-GE"/>
        </w:rPr>
        <w:t>ლარის</w:t>
      </w:r>
      <w:r w:rsidR="002A0BB1"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მობილიზებას</w:t>
      </w:r>
      <w:r w:rsidR="00A405DB" w:rsidRPr="00527AC4">
        <w:rPr>
          <w:color w:val="auto"/>
          <w:sz w:val="22"/>
          <w:szCs w:val="21"/>
          <w:shd w:val="clear" w:color="auto" w:fill="FFFFFF"/>
          <w:lang w:val="ka-GE"/>
        </w:rPr>
        <w:t>:</w:t>
      </w:r>
    </w:p>
    <w:p w:rsidR="005708BF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ფისკალური მდგრადობის და სოციალური დაცვის პროგრამის ფარგლებში აზიის განვითარების ბანკიდან (ADB) მისაღები სახსრები - 318  000.00  ათასი ლარის ოდენობით;   </w:t>
      </w:r>
    </w:p>
    <w:p w:rsidR="005708BF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>წყალმომრაგებისა და წყალარინების სექტორის მდგრადი განვითარების პროგრამის ფარგლებში აზიის განვითარების ბანკიდან (ADB) მისაღები სახსრები - 150  000.00  ათასი ლარის ოდენობით;</w:t>
      </w:r>
    </w:p>
    <w:p w:rsidR="005708BF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>კლიმატზე მორგებული ირიგაციის სექტორის განვითარების პროგრამის ფარგლებში აზიის განვითარების ბანკიდან (ADB) მისაღები სახსრები -    80 520.00  ათასი ლარის ოდენობით;</w:t>
      </w:r>
    </w:p>
    <w:p w:rsidR="005708BF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hAnsi="Sylfaen"/>
          <w:sz w:val="22"/>
          <w:szCs w:val="22"/>
          <w:lang w:val="ka-GE"/>
        </w:rPr>
        <w:t xml:space="preserve">პოლიტიკაზე დაფუძნებული სესხის „ წყლის რესურსების მართვა და ირიგაცია“ - </w:t>
      </w: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>ფარგლებში საფრანგეთის განვითარების სააგენტოდან (AFD) მისაღები სახსრები – 109 800.00 ათასი ლარის ოდენობით;</w:t>
      </w:r>
    </w:p>
    <w:p w:rsidR="005708BF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>განვითარების პოლიტიკის ღონისძიება-2022 პროგრამის (DPO-2022)  ფარგლებში მსოფლიო ბანკიდან (WB) მისაღები სახსრები - 157 380.0  ათასი ლარის ოდენობით;</w:t>
      </w:r>
    </w:p>
    <w:p w:rsidR="005708BF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>სოციალური კეთილდღეობის პროგრამა-IV-ის ფარგლებში საფრანგეთის განვითარების სააგენტოდან (AFD) მისაღები სახსრები – 109 800.00 ათასი ლარის ოდენობით;</w:t>
      </w:r>
    </w:p>
    <w:p w:rsidR="005708BF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>წყალმომრაგებისა და წყალარინების სექტორის მდგრადი განვითარების პროგრამის ფარგლებში საფრანგეთის განვითარების სააგენტოდან (AFD) მისაღები სახსრები -   109 800.00  ათასი ლარის ოდენობით; (ADB-ს II ტრანშის თანადაფინანსება).</w:t>
      </w:r>
    </w:p>
    <w:p w:rsidR="002D596E" w:rsidRPr="00DE2849" w:rsidRDefault="005708B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="Sylfaen" w:hAnsi="Sylfaen" w:cs="Sylfaen"/>
          <w:color w:val="000000"/>
          <w:sz w:val="22"/>
          <w:szCs w:val="22"/>
          <w:lang w:val="ka-GE"/>
        </w:rPr>
      </w:pPr>
      <w:r w:rsidRPr="00DE2849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საქართველოში ენერგეტიკის სექტორის რეფორმის პროგრამა- V-ის  ფარგლებში საფრანგეთის განვითარების სააგენტოდან (AFD) მისაღები სახსრები – 164 700.0 თასი ლარის ოდენობით; </w:t>
      </w:r>
    </w:p>
    <w:p w:rsidR="005708BF" w:rsidRPr="005708BF" w:rsidRDefault="005708BF" w:rsidP="005708BF">
      <w:pPr>
        <w:pStyle w:val="Normal22"/>
        <w:spacing w:after="0" w:line="240" w:lineRule="auto"/>
        <w:jc w:val="both"/>
        <w:rPr>
          <w:rFonts w:ascii="Sylfaen" w:eastAsia="Sylfaen" w:hAnsi="Sylfaen" w:cs="Sylfaen"/>
          <w:color w:val="000000"/>
          <w:lang w:val="ka-GE"/>
        </w:rPr>
      </w:pPr>
    </w:p>
    <w:p w:rsidR="00C0485E" w:rsidRPr="005708BF" w:rsidRDefault="000A05E4" w:rsidP="00C0485E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>2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პროექტით გათვალისწინებულია</w:t>
      </w:r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>1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5673F" w:rsidRPr="008811B5">
        <w:rPr>
          <w:rFonts w:ascii="Sylfaen" w:hAnsi="Sylfaen" w:cs="Sylfaen"/>
          <w:szCs w:val="21"/>
          <w:shd w:val="clear" w:color="auto" w:fill="FFFFFF"/>
        </w:rPr>
        <w:t>4</w:t>
      </w:r>
      <w:r w:rsidR="008811B5" w:rsidRPr="008811B5">
        <w:rPr>
          <w:rFonts w:ascii="Sylfaen" w:hAnsi="Sylfaen" w:cs="Sylfaen"/>
          <w:szCs w:val="21"/>
          <w:shd w:val="clear" w:color="auto" w:fill="FFFFFF"/>
        </w:rPr>
        <w:t>3</w:t>
      </w:r>
      <w:r w:rsidR="00C70518" w:rsidRPr="008811B5">
        <w:rPr>
          <w:rFonts w:ascii="Sylfaen" w:hAnsi="Sylfaen" w:cs="Sylfaen"/>
          <w:szCs w:val="21"/>
          <w:shd w:val="clear" w:color="auto" w:fill="FFFFFF"/>
        </w:rPr>
        <w:t>0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5708BF">
        <w:rPr>
          <w:rFonts w:ascii="Sylfaen" w:hAnsi="Sylfaen" w:cs="Sylfaen"/>
          <w:szCs w:val="21"/>
          <w:shd w:val="clear" w:color="auto" w:fill="FFFFFF"/>
        </w:rPr>
        <w:t>0</w:t>
      </w:r>
      <w:r w:rsidRPr="005708BF">
        <w:rPr>
          <w:rFonts w:ascii="Sylfaen" w:hAnsi="Sylfaen" w:cs="Sylfaen"/>
          <w:szCs w:val="21"/>
          <w:shd w:val="clear" w:color="auto" w:fill="FFFFFF"/>
        </w:rPr>
        <w:t>00</w:t>
      </w:r>
      <w:r w:rsidR="00C70518" w:rsidRPr="005708BF">
        <w:rPr>
          <w:rFonts w:ascii="Sylfaen" w:hAnsi="Sylfaen" w:cs="Sylfaen"/>
          <w:szCs w:val="21"/>
          <w:shd w:val="clear" w:color="auto" w:fill="FFFFFF"/>
          <w:lang w:val="ka-GE"/>
        </w:rPr>
        <w:t>.0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</w:t>
      </w:r>
      <w:r w:rsidRPr="005708BF">
        <w:rPr>
          <w:rFonts w:ascii="Sylfaen" w:hAnsi="Sylfaen" w:cs="Sylfaen"/>
          <w:szCs w:val="21"/>
          <w:shd w:val="clear" w:color="auto" w:fill="FFFFFF"/>
        </w:rPr>
        <w:t xml:space="preserve">საიდანაც 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>1 190 000.0</w:t>
      </w:r>
      <w:r w:rsidR="00C70518" w:rsidRPr="005708BF">
        <w:rPr>
          <w:szCs w:val="24"/>
        </w:rPr>
        <w:t xml:space="preserve"> 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ათასი ლარი წარმოადგენს ძირითადი თანხის დაფარვას, </w:t>
      </w:r>
      <w:r w:rsidRPr="005708BF">
        <w:rPr>
          <w:rFonts w:ascii="Sylfaen" w:hAnsi="Sylfaen" w:cs="Sylfaen"/>
          <w:szCs w:val="21"/>
          <w:shd w:val="clear" w:color="auto" w:fill="FFFFFF"/>
        </w:rPr>
        <w:t xml:space="preserve">ხოლო </w:t>
      </w:r>
      <w:r w:rsidR="0065673F">
        <w:rPr>
          <w:rFonts w:ascii="Sylfaen" w:hAnsi="Sylfaen" w:cs="Sylfaen"/>
          <w:szCs w:val="21"/>
          <w:shd w:val="clear" w:color="auto" w:fill="FFFFFF"/>
        </w:rPr>
        <w:t>24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 xml:space="preserve">0 000.0 </w:t>
      </w:r>
      <w:r w:rsidRPr="005708BF">
        <w:rPr>
          <w:rFonts w:ascii="Sylfaen" w:hAnsi="Sylfaen" w:cs="Sylfaen"/>
          <w:szCs w:val="21"/>
          <w:shd w:val="clear" w:color="auto" w:fill="FFFFFF"/>
        </w:rPr>
        <w:t>ათასი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ლარი - პროცენტის თანხას.</w:t>
      </w:r>
    </w:p>
    <w:p w:rsidR="00A67E3A" w:rsidRPr="005708BF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5708B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5708BF">
        <w:rPr>
          <w:rFonts w:ascii="Sylfaen" w:hAnsi="Sylfaen"/>
          <w:b/>
          <w:sz w:val="20"/>
          <w:szCs w:val="20"/>
          <w:lang w:val="ka-GE"/>
        </w:rPr>
        <w:t>202</w:t>
      </w:r>
      <w:r w:rsidR="00C70518" w:rsidRPr="005708BF">
        <w:rPr>
          <w:rFonts w:ascii="Sylfaen" w:hAnsi="Sylfaen"/>
          <w:b/>
          <w:sz w:val="20"/>
          <w:szCs w:val="20"/>
        </w:rPr>
        <w:t>2</w:t>
      </w:r>
      <w:r w:rsidR="006D20E2" w:rsidRPr="005708BF">
        <w:rPr>
          <w:rFonts w:ascii="Sylfaen" w:hAnsi="Sylfaen"/>
          <w:b/>
          <w:sz w:val="20"/>
          <w:szCs w:val="20"/>
        </w:rPr>
        <w:t xml:space="preserve"> </w:t>
      </w:r>
      <w:r w:rsidRPr="005708BF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:rsidR="00FB01F8" w:rsidRPr="005708BF" w:rsidRDefault="00FB01F8" w:rsidP="00A62747">
      <w:pPr>
        <w:tabs>
          <w:tab w:val="left" w:pos="0"/>
        </w:tabs>
        <w:spacing w:after="0" w:line="240" w:lineRule="auto"/>
        <w:ind w:right="1593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5708BF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8"/>
        <w:gridCol w:w="2033"/>
        <w:gridCol w:w="1577"/>
        <w:gridCol w:w="2225"/>
      </w:tblGrid>
      <w:tr w:rsidR="00DC574F" w:rsidRPr="00437E68" w:rsidTr="0040412C">
        <w:trPr>
          <w:trHeight w:hRule="exact" w:val="584"/>
          <w:tblHeader/>
          <w:jc w:val="center"/>
        </w:trPr>
        <w:tc>
          <w:tcPr>
            <w:tcW w:w="2092" w:type="pct"/>
            <w:shd w:val="clear" w:color="auto" w:fill="auto"/>
            <w:vAlign w:val="center"/>
            <w:hideMark/>
          </w:tcPr>
          <w:p w:rsidR="00DC574F" w:rsidRPr="0040412C" w:rsidRDefault="00DC574F" w:rsidP="003C38B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კრედიტორები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DC574F" w:rsidRPr="0040412C" w:rsidRDefault="00DC574F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დაფარვა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DC574F" w:rsidRPr="0040412C" w:rsidRDefault="00DC574F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პროცენტი</w:t>
            </w:r>
          </w:p>
        </w:tc>
        <w:tc>
          <w:tcPr>
            <w:tcW w:w="1109" w:type="pct"/>
            <w:shd w:val="clear" w:color="auto" w:fill="auto"/>
            <w:vAlign w:val="center"/>
            <w:hideMark/>
          </w:tcPr>
          <w:p w:rsidR="00DC574F" w:rsidRPr="0040412C" w:rsidRDefault="00DC574F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სულ 2022</w:t>
            </w:r>
          </w:p>
        </w:tc>
      </w:tr>
      <w:tr w:rsidR="00DC574F" w:rsidRPr="00437E68" w:rsidTr="0040412C">
        <w:trPr>
          <w:trHeight w:hRule="exact" w:val="44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DC574F" w:rsidRPr="0040412C" w:rsidRDefault="00DC574F" w:rsidP="0044055F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 </w:t>
            </w:r>
            <w:r w:rsidR="0044055F" w:rsidRPr="0040412C">
              <w:rPr>
                <w:rFonts w:ascii="Sylfaen" w:eastAsia="Times New Roman" w:hAnsi="Sylfaen" w:cstheme="minorHAnsi"/>
                <w:b/>
                <w:sz w:val="20"/>
                <w:szCs w:val="20"/>
              </w:rPr>
              <w:t>სულ: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DC574F" w:rsidRPr="0040412C" w:rsidRDefault="00DC574F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1,190,000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:rsidR="00DC574F" w:rsidRPr="0040412C" w:rsidRDefault="0065673F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24</w:t>
            </w:r>
            <w:r w:rsidR="00DC574F"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:rsidR="00DC574F" w:rsidRPr="0040412C" w:rsidRDefault="0065673F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1,43</w:t>
            </w:r>
            <w:r w:rsidR="00DC574F"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0,000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ავსტრია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4 400,0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541,0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4 941,0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კუვეიტი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2 900,0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1 133,0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4 033,0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იაპონია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27 800,0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5 558,0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33 358,0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გერმანია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204 020,0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22 237,0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226 257,0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აშშ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7 400,0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926,0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8 326,0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სომხეთი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2 700,0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340,0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3 040,0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აზერბაიჯანი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3 100,0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380,0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3 480,0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ირანი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2 300,0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277,0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2 577,0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ყაზახეთი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3 300,0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558,0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3 858,0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ნიდერლანდები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80,0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13,0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93,0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რუსეთი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20 800,0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3 506,0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24 306,0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თურქეთი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5 900,0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812,0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6 712,0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საფრანგეთი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74 000,0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8 426,0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82 426,0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ჩინეთი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1 500,0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-  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1 500,0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თურქმენეთი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-  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12 800,0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12 800,0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IDA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328 000,0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29 580,0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357 580,0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IBRD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50 900,0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31 715,0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82 615,0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IFAD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8 000,0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1 434,0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9 434,0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EBRD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70 000,0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7 990,0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77 990,0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EIB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46 900,0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11 846,0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58 746,0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ADB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325 000,0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44 499,0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369 499,0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IMF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-  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7 038,0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7 038,0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EU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-  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2 321,0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2 321,0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CEB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-  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175,0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175,0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AIIB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-  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1 730,0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1 730,0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NEFCO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1 000,0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165,0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1 165,0 </w:t>
            </w:r>
          </w:p>
        </w:tc>
      </w:tr>
      <w:tr w:rsidR="0065673F" w:rsidRPr="00437E68" w:rsidTr="0040412C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:rsidR="0065673F" w:rsidRPr="0040412C" w:rsidRDefault="0065673F" w:rsidP="0065673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ევრობონდი</w:t>
            </w:r>
          </w:p>
        </w:tc>
        <w:tc>
          <w:tcPr>
            <w:tcW w:w="1013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-   </w:t>
            </w:r>
          </w:p>
        </w:tc>
        <w:tc>
          <w:tcPr>
            <w:tcW w:w="786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44 000,0 </w:t>
            </w:r>
          </w:p>
        </w:tc>
        <w:tc>
          <w:tcPr>
            <w:tcW w:w="1109" w:type="pct"/>
            <w:shd w:val="clear" w:color="auto" w:fill="auto"/>
            <w:noWrap/>
            <w:hideMark/>
          </w:tcPr>
          <w:p w:rsidR="0065673F" w:rsidRPr="0040412C" w:rsidRDefault="0065673F" w:rsidP="0065673F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44 000,0 </w:t>
            </w:r>
          </w:p>
        </w:tc>
      </w:tr>
    </w:tbl>
    <w:p w:rsidR="009A5FAB" w:rsidRDefault="009A5FAB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</w:p>
    <w:p w:rsidR="009A5FAB" w:rsidRDefault="009A5FA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0A1240" w:rsidRPr="000A1240" w:rsidRDefault="003C2FBC" w:rsidP="003C2FBC">
      <w:pPr>
        <w:spacing w:line="240" w:lineRule="auto"/>
        <w:ind w:firstLine="720"/>
        <w:jc w:val="both"/>
        <w:rPr>
          <w:rFonts w:ascii="Sylfaen" w:hAnsi="Sylfaen" w:cs="Sylfaen"/>
          <w:b/>
          <w:szCs w:val="21"/>
          <w:shd w:val="clear" w:color="auto" w:fill="FFFFFF"/>
        </w:rPr>
      </w:pPr>
      <w:r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 საშინაო ვალი</w:t>
      </w:r>
      <w:r w:rsidR="0096735A" w:rsidRPr="000A1240">
        <w:rPr>
          <w:rFonts w:ascii="Sylfaen" w:hAnsi="Sylfaen" w:cs="Sylfaen"/>
          <w:b/>
          <w:szCs w:val="21"/>
          <w:shd w:val="clear" w:color="auto" w:fill="FFFFFF"/>
        </w:rPr>
        <w:tab/>
      </w:r>
    </w:p>
    <w:p w:rsidR="00396821" w:rsidRPr="000F487B" w:rsidRDefault="00E2344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tab/>
      </w:r>
      <w:r w:rsidR="00FA735A">
        <w:rPr>
          <w:rFonts w:ascii="Sylfaen" w:hAnsi="Sylfaen" w:cs="Sylfaen"/>
          <w:szCs w:val="21"/>
          <w:shd w:val="clear" w:color="auto" w:fill="FFFFFF"/>
          <w:lang w:val="ka-GE"/>
        </w:rPr>
        <w:t xml:space="preserve">2021 წლის განმავლობაში 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202</w:t>
      </w:r>
      <w:r w:rsidR="009D05FD" w:rsidRPr="000F487B">
        <w:rPr>
          <w:rFonts w:ascii="Sylfaen" w:hAnsi="Sylfaen" w:cs="Sylfaen"/>
          <w:szCs w:val="21"/>
          <w:shd w:val="clear" w:color="auto" w:fill="FFFFFF"/>
        </w:rPr>
        <w:t>1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9.5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C70518">
        <w:rPr>
          <w:rFonts w:ascii="Sylfaen" w:hAnsi="Sylfaen" w:cs="Sylfaen"/>
          <w:szCs w:val="21"/>
          <w:shd w:val="clear" w:color="auto" w:fill="FFFFFF"/>
          <w:lang w:val="ka-GE"/>
        </w:rPr>
        <w:t>9.2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9.4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%, 5 წლიანზე</w:t>
      </w:r>
      <w:r w:rsidR="009D05FD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- 9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9C518D" w:rsidRPr="000F487B">
        <w:rPr>
          <w:rFonts w:ascii="Sylfaen" w:hAnsi="Sylfaen" w:cs="Sylfaen"/>
          <w:szCs w:val="21"/>
          <w:shd w:val="clear" w:color="auto" w:fill="FFFFFF"/>
        </w:rPr>
        <w:t>8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70518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396821" w:rsidRPr="00D63FD8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color w:val="000000" w:themeColor="text1"/>
          <w:shd w:val="clear" w:color="auto" w:fill="FFFFFF"/>
        </w:rPr>
      </w:pPr>
      <w:r w:rsidRPr="000F487B">
        <w:rPr>
          <w:rFonts w:ascii="Sylfaen" w:hAnsi="Sylfaen" w:cs="Sylfaen"/>
          <w:shd w:val="clear" w:color="auto" w:fill="FFFFFF"/>
          <w:lang w:val="ka-GE"/>
        </w:rPr>
        <w:t>ფასიანი ქაღალდების გამოშვების შედეგად მთავრობის საშინაო ვალის ნაშთმა 202</w:t>
      </w:r>
      <w:r w:rsidR="009D05FD" w:rsidRPr="000F487B">
        <w:rPr>
          <w:rFonts w:ascii="Sylfaen" w:hAnsi="Sylfaen" w:cs="Sylfaen"/>
          <w:shd w:val="clear" w:color="auto" w:fill="FFFFFF"/>
          <w:lang w:val="ka-GE"/>
        </w:rPr>
        <w:t>1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Pr="000F487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სექტემბრის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მდგომარეობით შეადგინა 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5</w:t>
      </w:r>
      <w:r w:rsidR="008739E5" w:rsidRPr="000F487B">
        <w:rPr>
          <w:rFonts w:ascii="Sylfaen" w:hAnsi="Sylfaen" w:cs="Sylfaen"/>
          <w:shd w:val="clear" w:color="auto" w:fill="FFFFFF"/>
        </w:rPr>
        <w:t xml:space="preserve"> </w:t>
      </w:r>
      <w:r w:rsidR="001C7199">
        <w:rPr>
          <w:rFonts w:ascii="Sylfaen" w:hAnsi="Sylfaen" w:cs="Sylfaen"/>
          <w:shd w:val="clear" w:color="auto" w:fill="FFFFFF"/>
          <w:lang w:val="ka-GE"/>
        </w:rPr>
        <w:t>507</w:t>
      </w:r>
      <w:r w:rsidR="009E10CF" w:rsidRPr="000F487B">
        <w:rPr>
          <w:rFonts w:ascii="Sylfaen" w:hAnsi="Sylfaen" w:cs="Sylfaen"/>
          <w:shd w:val="clear" w:color="auto" w:fill="FFFFFF"/>
        </w:rPr>
        <w:t>.</w:t>
      </w:r>
      <w:r w:rsidR="00180F87">
        <w:rPr>
          <w:rFonts w:ascii="Sylfaen" w:hAnsi="Sylfaen" w:cs="Sylfaen"/>
          <w:shd w:val="clear" w:color="auto" w:fill="FFFFFF"/>
          <w:lang w:val="ka-GE"/>
        </w:rPr>
        <w:t>1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ნომინალებში - </w:t>
      </w:r>
      <w:r w:rsidR="008739E5" w:rsidRPr="000F487B">
        <w:rPr>
          <w:rFonts w:ascii="Sylfaen" w:hAnsi="Sylfaen" w:cs="Sylfaen"/>
          <w:shd w:val="clear" w:color="auto" w:fill="FFFFFF"/>
          <w:lang w:val="ka-GE"/>
        </w:rPr>
        <w:t xml:space="preserve">5 </w:t>
      </w:r>
      <w:r w:rsidR="001C7199">
        <w:rPr>
          <w:rFonts w:ascii="Sylfaen" w:hAnsi="Sylfaen" w:cs="Sylfaen"/>
          <w:shd w:val="clear" w:color="auto" w:fill="FFFFFF"/>
          <w:lang w:val="ka-GE"/>
        </w:rPr>
        <w:t>456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.</w:t>
      </w:r>
      <w:r w:rsidR="00180F87">
        <w:rPr>
          <w:rFonts w:ascii="Sylfaen" w:hAnsi="Sylfaen" w:cs="Sylfaen"/>
          <w:shd w:val="clear" w:color="auto" w:fill="FFFFFF"/>
          <w:lang w:val="ka-GE"/>
        </w:rPr>
        <w:t>8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და 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1C7199">
        <w:rPr>
          <w:rFonts w:ascii="Sylfaen" w:hAnsi="Sylfaen"/>
          <w:szCs w:val="21"/>
          <w:shd w:val="clear" w:color="auto" w:fill="FFFFFF"/>
          <w:lang w:val="ka-GE"/>
        </w:rPr>
        <w:t>38.8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5</w:t>
      </w:r>
      <w:r w:rsidR="008739E5" w:rsidRPr="000F487B">
        <w:rPr>
          <w:rFonts w:ascii="Sylfaen" w:hAnsi="Sylfaen" w:cs="Sylfaen"/>
          <w:shd w:val="clear" w:color="auto" w:fill="FFFFFF"/>
        </w:rPr>
        <w:t xml:space="preserve"> </w:t>
      </w:r>
      <w:r w:rsidR="001C7199">
        <w:rPr>
          <w:rFonts w:ascii="Sylfaen" w:hAnsi="Sylfaen" w:cs="Sylfaen"/>
          <w:shd w:val="clear" w:color="auto" w:fill="FFFFFF"/>
          <w:lang w:val="ka-GE"/>
        </w:rPr>
        <w:t>147</w:t>
      </w:r>
      <w:r w:rsidR="003150E3" w:rsidRPr="000F487B">
        <w:rPr>
          <w:rFonts w:ascii="Sylfaen" w:hAnsi="Sylfaen" w:cs="Sylfaen"/>
          <w:shd w:val="clear" w:color="auto" w:fill="FFFFFF"/>
          <w:lang w:val="ka-GE"/>
        </w:rPr>
        <w:t>.</w:t>
      </w:r>
      <w:r w:rsidR="001C7199">
        <w:rPr>
          <w:rFonts w:ascii="Sylfaen" w:hAnsi="Sylfaen" w:cs="Sylfaen"/>
          <w:shd w:val="clear" w:color="auto" w:fill="FFFFFF"/>
          <w:lang w:val="ka-GE"/>
        </w:rPr>
        <w:t>5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1C7199">
        <w:rPr>
          <w:rFonts w:ascii="Sylfaen" w:hAnsi="Sylfaen" w:cs="Sylfaen"/>
          <w:shd w:val="clear" w:color="auto" w:fill="FFFFFF"/>
          <w:lang w:val="ka-GE"/>
        </w:rPr>
        <w:t>32</w:t>
      </w:r>
      <w:r w:rsidR="00180F87">
        <w:rPr>
          <w:rFonts w:ascii="Sylfaen" w:hAnsi="Sylfaen" w:cs="Sylfaen"/>
          <w:shd w:val="clear" w:color="auto" w:fill="FFFFFF"/>
          <w:lang w:val="ka-GE"/>
        </w:rPr>
        <w:t>0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.8 მლნ ლარი - „ობლიგაცია სებ-სთვის და ღია ბაზრის ოპერაციებისათვის“ ნაწილში და 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1C7199">
        <w:rPr>
          <w:rFonts w:ascii="Sylfaen" w:hAnsi="Sylfaen"/>
          <w:szCs w:val="21"/>
          <w:shd w:val="clear" w:color="auto" w:fill="FFFFFF"/>
          <w:lang w:val="ka-GE"/>
        </w:rPr>
        <w:t>38.8</w:t>
      </w:r>
      <w:r w:rsidR="001C7199" w:rsidRPr="000F487B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D63FD8">
        <w:rPr>
          <w:rFonts w:ascii="Sylfaen" w:hAnsi="Sylfaen"/>
          <w:color w:val="000000" w:themeColor="text1"/>
          <w:szCs w:val="21"/>
          <w:shd w:val="clear" w:color="auto" w:fill="FFFFFF"/>
          <w:lang w:val="ka-GE"/>
        </w:rPr>
        <w:t>მლნ ლარი.</w:t>
      </w: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1C7199" w:rsidRDefault="001C7199" w:rsidP="001C71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:rsidR="00396821" w:rsidRPr="000F487B" w:rsidRDefault="001C7199" w:rsidP="001C71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2021</w:t>
      </w:r>
      <w:r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30 სექტემბრის</w:t>
      </w:r>
      <w:r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73E97" w:rsidRDefault="00396821" w:rsidP="002B6702">
      <w:pPr>
        <w:tabs>
          <w:tab w:val="left" w:pos="0"/>
        </w:tabs>
        <w:spacing w:after="0" w:line="240" w:lineRule="auto"/>
        <w:ind w:right="27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0F487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0F487B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0F487B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0F487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</w:t>
      </w:r>
      <w:r w:rsidRPr="00B73E97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რი</w:t>
      </w:r>
    </w:p>
    <w:tbl>
      <w:tblPr>
        <w:tblStyle w:val="TableGrid"/>
        <w:tblW w:w="4828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35"/>
        <w:gridCol w:w="2453"/>
      </w:tblGrid>
      <w:tr w:rsidR="001C7199" w:rsidRPr="0040412C" w:rsidTr="005D3724">
        <w:trPr>
          <w:trHeight w:val="343"/>
          <w:jc w:val="center"/>
        </w:trPr>
        <w:tc>
          <w:tcPr>
            <w:tcW w:w="3734" w:type="pct"/>
            <w:vAlign w:val="center"/>
            <w:hideMark/>
          </w:tcPr>
          <w:p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266" w:type="pct"/>
            <w:hideMark/>
          </w:tcPr>
          <w:p w:rsidR="001C7199" w:rsidRPr="0040412C" w:rsidRDefault="001C7199" w:rsidP="001C7199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b/>
                <w:sz w:val="20"/>
                <w:szCs w:val="20"/>
              </w:rPr>
              <w:t>5 495 516,4</w:t>
            </w:r>
          </w:p>
        </w:tc>
      </w:tr>
      <w:tr w:rsidR="001C7199" w:rsidRPr="0040412C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სახაზინო ფასიანი ქაღალდები</w:t>
            </w:r>
          </w:p>
        </w:tc>
        <w:tc>
          <w:tcPr>
            <w:tcW w:w="1266" w:type="pct"/>
            <w:hideMark/>
          </w:tcPr>
          <w:p w:rsidR="001C7199" w:rsidRPr="0040412C" w:rsidRDefault="001C7199" w:rsidP="001C7199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b/>
                <w:sz w:val="20"/>
                <w:szCs w:val="20"/>
              </w:rPr>
              <w:t>5 135 907,0</w:t>
            </w:r>
          </w:p>
        </w:tc>
      </w:tr>
      <w:tr w:rsidR="001C7199" w:rsidRPr="0040412C" w:rsidTr="005D3724">
        <w:trPr>
          <w:trHeight w:val="288"/>
          <w:jc w:val="center"/>
        </w:trPr>
        <w:tc>
          <w:tcPr>
            <w:tcW w:w="3734" w:type="pct"/>
            <w:noWrap/>
            <w:vAlign w:val="center"/>
          </w:tcPr>
          <w:p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6</w:t>
            </w: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თვის ვადიანობის სახაზინო ვალდებულებები</w:t>
            </w:r>
          </w:p>
        </w:tc>
        <w:tc>
          <w:tcPr>
            <w:tcW w:w="1266" w:type="pct"/>
          </w:tcPr>
          <w:p w:rsidR="001C7199" w:rsidRPr="0040412C" w:rsidRDefault="001C7199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75 000,0</w:t>
            </w:r>
          </w:p>
        </w:tc>
      </w:tr>
      <w:tr w:rsidR="001C7199" w:rsidRPr="0040412C" w:rsidTr="005D3724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12 თვის ვადიანობის სახაზინო ვალდებულებები</w:t>
            </w:r>
          </w:p>
        </w:tc>
        <w:tc>
          <w:tcPr>
            <w:tcW w:w="1266" w:type="pct"/>
            <w:hideMark/>
          </w:tcPr>
          <w:p w:rsidR="001C7199" w:rsidRPr="0040412C" w:rsidRDefault="001C7199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255 000,0</w:t>
            </w:r>
          </w:p>
        </w:tc>
      </w:tr>
      <w:tr w:rsidR="001C7199" w:rsidRPr="0040412C" w:rsidTr="005D3724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2 წლის ვადიანობის სახაზინო ობლიგაციები </w:t>
            </w:r>
          </w:p>
        </w:tc>
        <w:tc>
          <w:tcPr>
            <w:tcW w:w="1266" w:type="pct"/>
            <w:hideMark/>
          </w:tcPr>
          <w:p w:rsidR="001C7199" w:rsidRPr="0040412C" w:rsidRDefault="001C7199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980 000,0</w:t>
            </w:r>
          </w:p>
        </w:tc>
      </w:tr>
      <w:tr w:rsidR="001C7199" w:rsidRPr="0040412C" w:rsidTr="005D3724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5 წლის ვადიანობის სახაზინო ობლიგაციები</w:t>
            </w:r>
          </w:p>
        </w:tc>
        <w:tc>
          <w:tcPr>
            <w:tcW w:w="1266" w:type="pct"/>
            <w:hideMark/>
          </w:tcPr>
          <w:p w:rsidR="001C7199" w:rsidRPr="0040412C" w:rsidRDefault="001C7199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2 520 339,0</w:t>
            </w:r>
          </w:p>
        </w:tc>
      </w:tr>
      <w:tr w:rsidR="001C7199" w:rsidRPr="0040412C" w:rsidTr="005D3724">
        <w:trPr>
          <w:trHeight w:val="353"/>
          <w:jc w:val="center"/>
        </w:trPr>
        <w:tc>
          <w:tcPr>
            <w:tcW w:w="3734" w:type="pct"/>
            <w:noWrap/>
            <w:vAlign w:val="center"/>
            <w:hideMark/>
          </w:tcPr>
          <w:p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10 წლის ვადიანობის სახაზინო ობლიგაციები</w:t>
            </w:r>
          </w:p>
        </w:tc>
        <w:tc>
          <w:tcPr>
            <w:tcW w:w="1266" w:type="pct"/>
            <w:hideMark/>
          </w:tcPr>
          <w:p w:rsidR="001C7199" w:rsidRPr="0040412C" w:rsidRDefault="001C7199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1 305 568,0</w:t>
            </w:r>
          </w:p>
        </w:tc>
      </w:tr>
      <w:tr w:rsidR="001C7199" w:rsidRPr="0040412C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სხვა ფასიანი ქაღალდები</w:t>
            </w:r>
          </w:p>
        </w:tc>
        <w:tc>
          <w:tcPr>
            <w:tcW w:w="1266" w:type="pct"/>
          </w:tcPr>
          <w:p w:rsidR="001C7199" w:rsidRPr="0040412C" w:rsidRDefault="001C7199" w:rsidP="001C7199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b/>
                <w:sz w:val="20"/>
                <w:szCs w:val="20"/>
              </w:rPr>
              <w:t>320 846,0</w:t>
            </w:r>
          </w:p>
        </w:tc>
      </w:tr>
      <w:tr w:rsidR="001C7199" w:rsidRPr="0040412C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ობლიგაცია სებ-სთვის</w:t>
            </w:r>
          </w:p>
        </w:tc>
        <w:tc>
          <w:tcPr>
            <w:tcW w:w="1266" w:type="pct"/>
            <w:hideMark/>
          </w:tcPr>
          <w:p w:rsidR="001C7199" w:rsidRPr="0040412C" w:rsidRDefault="001C7199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160 846,0</w:t>
            </w:r>
          </w:p>
        </w:tc>
      </w:tr>
      <w:tr w:rsidR="001C7199" w:rsidRPr="0040412C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ობლიგაციები ღია ბაზრის ოპერაციებისთვის</w:t>
            </w:r>
          </w:p>
        </w:tc>
        <w:tc>
          <w:tcPr>
            <w:tcW w:w="1266" w:type="pct"/>
            <w:hideMark/>
          </w:tcPr>
          <w:p w:rsidR="001C7199" w:rsidRPr="0040412C" w:rsidRDefault="001C7199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160 000,0</w:t>
            </w:r>
          </w:p>
        </w:tc>
      </w:tr>
      <w:tr w:rsidR="001C7199" w:rsidRPr="0040412C" w:rsidTr="005D3724">
        <w:trPr>
          <w:trHeight w:val="288"/>
          <w:jc w:val="center"/>
        </w:trPr>
        <w:tc>
          <w:tcPr>
            <w:tcW w:w="3734" w:type="pct"/>
            <w:vAlign w:val="center"/>
          </w:tcPr>
          <w:p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საბიუჯეტო ორგანიზაციების სესხის სახით არსებულ</w:t>
            </w: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ი ვალის</w:t>
            </w: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ნაშ</w:t>
            </w: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თი</w:t>
            </w:r>
          </w:p>
        </w:tc>
        <w:tc>
          <w:tcPr>
            <w:tcW w:w="1266" w:type="pct"/>
          </w:tcPr>
          <w:p w:rsidR="001C7199" w:rsidRPr="0040412C" w:rsidRDefault="001C7199" w:rsidP="001C7199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b/>
                <w:sz w:val="20"/>
                <w:szCs w:val="20"/>
              </w:rPr>
              <w:t>38 763,4</w:t>
            </w:r>
          </w:p>
        </w:tc>
      </w:tr>
    </w:tbl>
    <w:p w:rsidR="00396821" w:rsidRPr="009E10CF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shd w:val="clear" w:color="auto" w:fill="FFFFFF"/>
        </w:rPr>
      </w:pPr>
    </w:p>
    <w:p w:rsidR="00D63FD8" w:rsidRPr="00D63FD8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</w:rPr>
      </w:pPr>
      <w:r w:rsidRPr="00D521CF">
        <w:rPr>
          <w:rFonts w:ascii="Sylfaen" w:hAnsi="Sylfaen"/>
          <w:lang w:val="ka-GE"/>
        </w:rPr>
        <w:t>202</w:t>
      </w:r>
      <w:r w:rsidR="00180F87" w:rsidRPr="00D521CF">
        <w:rPr>
          <w:rFonts w:ascii="Sylfaen" w:hAnsi="Sylfaen"/>
        </w:rPr>
        <w:t>2</w:t>
      </w:r>
      <w:r w:rsidRPr="00D521CF">
        <w:rPr>
          <w:lang w:val="ka-GE"/>
        </w:rPr>
        <w:t xml:space="preserve"> </w:t>
      </w:r>
      <w:r w:rsidRPr="00D521CF">
        <w:rPr>
          <w:rFonts w:ascii="Sylfaen" w:hAnsi="Sylfaen" w:cs="Sylfaen"/>
        </w:rPr>
        <w:t>წლის</w:t>
      </w:r>
      <w:r w:rsidRPr="00D521CF">
        <w:t xml:space="preserve"> </w:t>
      </w:r>
      <w:r w:rsidRPr="00D521CF">
        <w:rPr>
          <w:rFonts w:ascii="Sylfaen" w:hAnsi="Sylfaen" w:cs="Sylfaen"/>
        </w:rPr>
        <w:t>სახელმწიფო</w:t>
      </w:r>
      <w:r w:rsidRPr="00D521CF">
        <w:rPr>
          <w:rFonts w:ascii="Sylfaen" w:hAnsi="Sylfaen"/>
        </w:rPr>
        <w:t xml:space="preserve"> </w:t>
      </w:r>
      <w:r w:rsidRPr="00D521CF">
        <w:rPr>
          <w:rFonts w:ascii="Sylfaen" w:hAnsi="Sylfaen" w:cs="Sylfaen"/>
        </w:rPr>
        <w:t>ბიუჯეტის</w:t>
      </w:r>
      <w:r w:rsidRPr="00D521CF">
        <w:rPr>
          <w:rFonts w:ascii="Sylfaen" w:hAnsi="Sylfaen"/>
        </w:rPr>
        <w:t xml:space="preserve"> </w:t>
      </w:r>
      <w:r w:rsidRPr="00D521CF">
        <w:rPr>
          <w:rFonts w:ascii="Sylfaen" w:hAnsi="Sylfaen" w:cs="Sylfaen"/>
        </w:rPr>
        <w:t>პროექტი</w:t>
      </w:r>
      <w:r w:rsidRPr="00D521CF">
        <w:rPr>
          <w:rFonts w:ascii="Sylfaen" w:hAnsi="Sylfaen"/>
        </w:rPr>
        <w:t xml:space="preserve"> </w:t>
      </w:r>
      <w:r w:rsidRPr="00D521CF">
        <w:rPr>
          <w:rFonts w:ascii="Sylfaen" w:hAnsi="Sylfaen" w:cs="Sylfaen"/>
        </w:rPr>
        <w:t>ითვალისწინებს</w:t>
      </w:r>
      <w:r w:rsidRPr="00D521CF">
        <w:rPr>
          <w:rFonts w:ascii="Sylfaen" w:hAnsi="Sylfaen"/>
        </w:rPr>
        <w:t xml:space="preserve"> </w:t>
      </w:r>
      <w:r w:rsidR="00103D04" w:rsidRPr="00D521CF">
        <w:rPr>
          <w:rFonts w:ascii="Sylfaen" w:hAnsi="Sylfaen"/>
        </w:rPr>
        <w:t>სახაზინო ვალდებულებებისა და სახაზინო ობლიგაციების გამოშვებ</w:t>
      </w:r>
      <w:r w:rsidR="00E60B55" w:rsidRPr="00D521CF">
        <w:rPr>
          <w:rFonts w:ascii="Sylfaen" w:hAnsi="Sylfaen"/>
          <w:lang w:val="ka-GE"/>
        </w:rPr>
        <w:t>იდან მიღებულ საპროგნოზო თანხას</w:t>
      </w:r>
      <w:r w:rsidR="00D521CF">
        <w:rPr>
          <w:rFonts w:ascii="Sylfaen" w:hAnsi="Sylfaen"/>
          <w:lang w:val="ka-GE"/>
        </w:rPr>
        <w:t xml:space="preserve"> 2 80</w:t>
      </w:r>
      <w:r w:rsidR="00103D04" w:rsidRPr="00D521CF">
        <w:rPr>
          <w:rFonts w:ascii="Sylfaen" w:hAnsi="Sylfaen"/>
          <w:lang w:val="ka-GE"/>
        </w:rPr>
        <w:t>0 000.0 ათასი ლარის ოდენობით</w:t>
      </w:r>
      <w:r w:rsidR="00D63FD8" w:rsidRPr="00D521CF">
        <w:rPr>
          <w:rFonts w:ascii="Sylfaen" w:hAnsi="Sylfaen"/>
          <w:lang w:val="ka-GE"/>
        </w:rPr>
        <w:t xml:space="preserve"> და</w:t>
      </w:r>
      <w:r w:rsidR="00103D04" w:rsidRPr="00D521CF">
        <w:rPr>
          <w:rFonts w:ascii="Sylfaen" w:hAnsi="Sylfaen"/>
          <w:lang w:val="ka-GE"/>
        </w:rPr>
        <w:t xml:space="preserve"> </w:t>
      </w:r>
      <w:r w:rsidRPr="00D521CF">
        <w:rPr>
          <w:rFonts w:ascii="Sylfaen" w:hAnsi="Sylfaen" w:cs="Sylfaen"/>
        </w:rPr>
        <w:t>საშინაო</w:t>
      </w:r>
      <w:r w:rsidRPr="00D521CF">
        <w:rPr>
          <w:rFonts w:ascii="Sylfaen" w:hAnsi="Sylfaen"/>
        </w:rPr>
        <w:t xml:space="preserve"> </w:t>
      </w:r>
      <w:r w:rsidRPr="00D521CF">
        <w:rPr>
          <w:rFonts w:ascii="Sylfaen" w:hAnsi="Sylfaen" w:cs="Sylfaen"/>
        </w:rPr>
        <w:t>ვალდებულებების</w:t>
      </w:r>
      <w:r w:rsidRPr="00D521CF">
        <w:rPr>
          <w:rFonts w:ascii="Sylfaen" w:hAnsi="Sylfaen"/>
        </w:rPr>
        <w:t xml:space="preserve"> </w:t>
      </w:r>
      <w:r w:rsidRPr="00D521CF">
        <w:rPr>
          <w:rFonts w:ascii="Sylfaen" w:hAnsi="Sylfaen" w:cs="Sylfaen"/>
        </w:rPr>
        <w:t>მოსალოდნელ</w:t>
      </w:r>
      <w:r w:rsidRPr="00D521CF">
        <w:rPr>
          <w:rFonts w:ascii="Sylfaen" w:hAnsi="Sylfaen"/>
        </w:rPr>
        <w:t xml:space="preserve"> </w:t>
      </w:r>
      <w:r w:rsidRPr="00D521CF">
        <w:rPr>
          <w:rFonts w:ascii="Sylfaen" w:hAnsi="Sylfaen" w:cs="Sylfaen"/>
        </w:rPr>
        <w:t>კლებას</w:t>
      </w:r>
      <w:r w:rsidRPr="00D521CF">
        <w:rPr>
          <w:rFonts w:ascii="Sylfaen" w:hAnsi="Sylfaen"/>
        </w:rPr>
        <w:t xml:space="preserve"> </w:t>
      </w:r>
      <w:r w:rsidRPr="00D521CF">
        <w:rPr>
          <w:rFonts w:ascii="Sylfaen" w:hAnsi="Sylfaen"/>
          <w:lang w:val="ka-GE"/>
        </w:rPr>
        <w:t xml:space="preserve">1 </w:t>
      </w:r>
      <w:r w:rsidR="008170FC" w:rsidRPr="00D521CF">
        <w:rPr>
          <w:rFonts w:ascii="Sylfaen" w:hAnsi="Sylfaen"/>
        </w:rPr>
        <w:t>5</w:t>
      </w:r>
      <w:r w:rsidR="00D521CF">
        <w:rPr>
          <w:rFonts w:ascii="Sylfaen" w:hAnsi="Sylfaen"/>
          <w:lang w:val="ka-GE"/>
        </w:rPr>
        <w:t>0</w:t>
      </w:r>
      <w:r w:rsidR="008170FC" w:rsidRPr="00D521CF">
        <w:rPr>
          <w:rFonts w:ascii="Sylfaen" w:hAnsi="Sylfaen"/>
        </w:rPr>
        <w:t>0</w:t>
      </w:r>
      <w:r w:rsidR="008170FC" w:rsidRPr="00D521CF">
        <w:rPr>
          <w:rFonts w:ascii="Sylfaen" w:hAnsi="Sylfaen"/>
          <w:lang w:val="ka-GE"/>
        </w:rPr>
        <w:t xml:space="preserve"> </w:t>
      </w:r>
      <w:r w:rsidRPr="00D521CF">
        <w:rPr>
          <w:rFonts w:ascii="Sylfaen" w:hAnsi="Sylfaen"/>
          <w:lang w:val="ka-GE"/>
        </w:rPr>
        <w:t>000</w:t>
      </w:r>
      <w:r w:rsidRPr="00D521CF">
        <w:rPr>
          <w:rFonts w:ascii="Sylfaen" w:hAnsi="Sylfaen"/>
        </w:rPr>
        <w:t xml:space="preserve">.0 </w:t>
      </w:r>
      <w:r w:rsidRPr="00D521CF">
        <w:rPr>
          <w:rFonts w:ascii="Sylfaen" w:hAnsi="Sylfaen" w:cs="Sylfaen"/>
        </w:rPr>
        <w:t>ათასი</w:t>
      </w:r>
      <w:r w:rsidRPr="00D521CF">
        <w:rPr>
          <w:rFonts w:ascii="Sylfaen" w:hAnsi="Sylfaen"/>
        </w:rPr>
        <w:t xml:space="preserve"> </w:t>
      </w:r>
      <w:r w:rsidRPr="00D521CF">
        <w:rPr>
          <w:rFonts w:ascii="Sylfaen" w:hAnsi="Sylfaen" w:cs="Sylfaen"/>
        </w:rPr>
        <w:t>ლარის</w:t>
      </w:r>
      <w:r w:rsidRPr="00D521CF">
        <w:rPr>
          <w:rFonts w:ascii="Sylfaen" w:hAnsi="Sylfaen"/>
        </w:rPr>
        <w:t xml:space="preserve"> </w:t>
      </w:r>
      <w:r w:rsidRPr="00D521CF">
        <w:rPr>
          <w:rFonts w:ascii="Sylfaen" w:hAnsi="Sylfaen" w:cs="Sylfaen"/>
        </w:rPr>
        <w:t>ოდენობით</w:t>
      </w:r>
      <w:r w:rsidR="008170FC" w:rsidRPr="00D521CF">
        <w:rPr>
          <w:rFonts w:ascii="Sylfaen" w:hAnsi="Sylfaen"/>
          <w:lang w:val="ka-GE"/>
        </w:rPr>
        <w:t>. შესაბამისად, 2022 წლის ბოლოს მდგო</w:t>
      </w:r>
      <w:r w:rsidR="00D63FD8" w:rsidRPr="00D521CF">
        <w:rPr>
          <w:rFonts w:ascii="Sylfaen" w:hAnsi="Sylfaen"/>
          <w:lang w:val="ka-GE"/>
        </w:rPr>
        <w:t>მ</w:t>
      </w:r>
      <w:r w:rsidR="008170FC" w:rsidRPr="00D521CF">
        <w:rPr>
          <w:rFonts w:ascii="Sylfaen" w:hAnsi="Sylfaen"/>
          <w:lang w:val="ka-GE"/>
        </w:rPr>
        <w:t>არეობით საშინაო ვალდებულებების წმინდა ზრდის საპროგნოზო მაჩვენებელი შეადგენს 1 300 000.0 ათას ლარს</w:t>
      </w:r>
      <w:r w:rsidR="00D521CF">
        <w:rPr>
          <w:rFonts w:ascii="Sylfaen" w:hAnsi="Sylfaen"/>
          <w:lang w:val="ka-GE"/>
        </w:rPr>
        <w:t xml:space="preserve"> (2 80</w:t>
      </w:r>
      <w:r w:rsidR="008170FC" w:rsidRPr="00D521CF">
        <w:rPr>
          <w:rFonts w:ascii="Sylfaen" w:hAnsi="Sylfaen"/>
          <w:lang w:val="ka-GE"/>
        </w:rPr>
        <w:t>0 000.0 – 1 5</w:t>
      </w:r>
      <w:r w:rsidR="00D521CF">
        <w:rPr>
          <w:rFonts w:ascii="Sylfaen" w:hAnsi="Sylfaen"/>
        </w:rPr>
        <w:t>0</w:t>
      </w:r>
      <w:r w:rsidR="008170FC" w:rsidRPr="00D521CF">
        <w:rPr>
          <w:rFonts w:ascii="Sylfaen" w:hAnsi="Sylfaen"/>
          <w:lang w:val="ka-GE"/>
        </w:rPr>
        <w:t>0 000.0</w:t>
      </w:r>
      <w:r w:rsidR="00D63FD8" w:rsidRPr="00D521CF">
        <w:rPr>
          <w:rFonts w:ascii="Sylfaen" w:hAnsi="Sylfaen"/>
          <w:lang w:val="ka-GE"/>
        </w:rPr>
        <w:t>).</w:t>
      </w:r>
    </w:p>
    <w:p w:rsidR="00B404A9" w:rsidRPr="008739E5" w:rsidRDefault="00D63FD8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D63FD8">
        <w:rPr>
          <w:rFonts w:ascii="Sylfaen" w:hAnsi="Sylfaen"/>
          <w:lang w:val="ka-GE"/>
        </w:rPr>
        <w:t xml:space="preserve">2022 წლის </w:t>
      </w:r>
      <w:r w:rsidRPr="00D63FD8">
        <w:rPr>
          <w:rFonts w:ascii="Sylfaen" w:hAnsi="Sylfaen" w:cs="Sylfaen"/>
        </w:rPr>
        <w:t>სახელმწიფო</w:t>
      </w:r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 w:cs="Sylfaen"/>
        </w:rPr>
        <w:t>ბიუჯეტის</w:t>
      </w:r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 w:cs="Sylfaen"/>
        </w:rPr>
        <w:t>პროექტი</w:t>
      </w:r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/>
          <w:lang w:val="ka-GE"/>
        </w:rPr>
        <w:t xml:space="preserve">ასევე </w:t>
      </w:r>
      <w:r w:rsidRPr="00D63FD8">
        <w:rPr>
          <w:rFonts w:ascii="Sylfaen" w:hAnsi="Sylfaen" w:cs="Sylfaen"/>
        </w:rPr>
        <w:t>ითვალისწინებს</w:t>
      </w:r>
      <w:r w:rsidRPr="00D63FD8">
        <w:rPr>
          <w:rFonts w:ascii="Sylfaen" w:hAnsi="Sylfaen" w:cs="Sylfaen"/>
          <w:lang w:val="ka-GE"/>
        </w:rPr>
        <w:t xml:space="preserve"> </w:t>
      </w:r>
      <w:r w:rsidRPr="00D63FD8">
        <w:rPr>
          <w:rFonts w:ascii="Sylfaen" w:hAnsi="Sylfaen" w:cs="Sylfaen"/>
        </w:rPr>
        <w:t>სახელმწიფო</w:t>
      </w:r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 w:cs="Sylfaen"/>
        </w:rPr>
        <w:t>ობლიგაციების</w:t>
      </w:r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 w:cs="Sylfaen"/>
        </w:rPr>
        <w:t>ძირითადი</w:t>
      </w:r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 w:cs="Sylfaen"/>
        </w:rPr>
        <w:t>თანხის</w:t>
      </w:r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 w:cs="Sylfaen"/>
        </w:rPr>
        <w:t>დაფარვას</w:t>
      </w:r>
      <w:r w:rsidRPr="00D63FD8">
        <w:rPr>
          <w:rFonts w:ascii="Sylfaen" w:hAnsi="Sylfaen"/>
        </w:rPr>
        <w:t xml:space="preserve"> (</w:t>
      </w:r>
      <w:r w:rsidRPr="00D63FD8">
        <w:rPr>
          <w:rFonts w:ascii="Sylfaen" w:hAnsi="Sylfaen" w:cs="Sylfaen"/>
        </w:rPr>
        <w:t>სებ</w:t>
      </w:r>
      <w:r w:rsidRPr="00D63FD8">
        <w:rPr>
          <w:rFonts w:ascii="Sylfaen" w:hAnsi="Sylfaen"/>
        </w:rPr>
        <w:t>-</w:t>
      </w:r>
      <w:r w:rsidRPr="00D63FD8">
        <w:rPr>
          <w:rFonts w:ascii="Sylfaen" w:hAnsi="Sylfaen" w:cs="Sylfaen"/>
        </w:rPr>
        <w:t>ის</w:t>
      </w:r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 w:cs="Sylfaen"/>
        </w:rPr>
        <w:t>მიმართ</w:t>
      </w:r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 w:cs="Sylfaen"/>
        </w:rPr>
        <w:t>ვალი</w:t>
      </w:r>
      <w:r w:rsidRPr="00D63FD8">
        <w:rPr>
          <w:rFonts w:ascii="Sylfaen" w:hAnsi="Sylfaen"/>
        </w:rPr>
        <w:t xml:space="preserve">) – </w:t>
      </w:r>
      <w:r w:rsidRPr="00D63FD8">
        <w:rPr>
          <w:rFonts w:ascii="Sylfaen" w:hAnsi="Sylfaen"/>
          <w:lang w:val="ka-GE"/>
        </w:rPr>
        <w:t>40 000</w:t>
      </w:r>
      <w:r w:rsidRPr="00D63FD8">
        <w:rPr>
          <w:rFonts w:ascii="Sylfaen" w:hAnsi="Sylfaen"/>
        </w:rPr>
        <w:t xml:space="preserve">.0 </w:t>
      </w:r>
      <w:r w:rsidRPr="00D63FD8">
        <w:rPr>
          <w:rFonts w:ascii="Sylfaen" w:hAnsi="Sylfaen" w:cs="Sylfaen"/>
        </w:rPr>
        <w:t>ათასი</w:t>
      </w:r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 w:cs="Sylfaen"/>
        </w:rPr>
        <w:t>ლარის</w:t>
      </w:r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 w:cs="Sylfaen"/>
        </w:rPr>
        <w:t>ოდენობით</w:t>
      </w:r>
      <w:r w:rsidRPr="00D63FD8">
        <w:rPr>
          <w:rFonts w:ascii="Sylfaen" w:hAnsi="Sylfaen"/>
        </w:rPr>
        <w:t xml:space="preserve"> </w:t>
      </w:r>
      <w:r w:rsidR="00B404A9" w:rsidRPr="00D63FD8">
        <w:rPr>
          <w:rFonts w:ascii="Sylfaen" w:hAnsi="Sylfaen" w:cs="Sylfaen"/>
        </w:rPr>
        <w:t>საქართველოს</w:t>
      </w:r>
      <w:r w:rsidR="00B404A9" w:rsidRPr="008739E5">
        <w:t xml:space="preserve"> </w:t>
      </w:r>
      <w:r w:rsidR="00B404A9" w:rsidRPr="008739E5">
        <w:rPr>
          <w:rFonts w:ascii="Sylfaen" w:hAnsi="Sylfaen" w:cs="Sylfaen"/>
        </w:rPr>
        <w:t>მთავრობის</w:t>
      </w:r>
      <w:r w:rsidR="00B404A9" w:rsidRPr="008739E5">
        <w:t xml:space="preserve"> </w:t>
      </w:r>
      <w:r w:rsidR="00B404A9" w:rsidRPr="008739E5">
        <w:rPr>
          <w:rFonts w:ascii="Sylfaen" w:hAnsi="Sylfaen" w:cs="Sylfaen"/>
        </w:rPr>
        <w:t>და</w:t>
      </w:r>
      <w:r w:rsidR="00B404A9" w:rsidRPr="008739E5">
        <w:t xml:space="preserve"> </w:t>
      </w:r>
      <w:r w:rsidR="00B404A9" w:rsidRPr="008739E5">
        <w:rPr>
          <w:rFonts w:ascii="Sylfaen" w:hAnsi="Sylfaen" w:cs="Sylfaen"/>
        </w:rPr>
        <w:t>საქართველოს</w:t>
      </w:r>
      <w:r w:rsidR="00B404A9" w:rsidRPr="008739E5">
        <w:t xml:space="preserve"> </w:t>
      </w:r>
      <w:r w:rsidR="00B404A9" w:rsidRPr="008739E5">
        <w:rPr>
          <w:rFonts w:ascii="Sylfaen" w:hAnsi="Sylfaen" w:cs="Sylfaen"/>
        </w:rPr>
        <w:t>ეროვნული</w:t>
      </w:r>
      <w:r w:rsidR="00B404A9" w:rsidRPr="008739E5">
        <w:t xml:space="preserve"> </w:t>
      </w:r>
      <w:r w:rsidR="00B404A9" w:rsidRPr="00041224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="00B404A9" w:rsidRPr="008739E5">
        <w:t xml:space="preserve"> </w:t>
      </w:r>
      <w:r w:rsidR="00B404A9" w:rsidRPr="008739E5">
        <w:rPr>
          <w:rFonts w:ascii="Sylfaen" w:hAnsi="Sylfaen" w:cs="Sylfaen"/>
        </w:rPr>
        <w:t>დაფარვის</w:t>
      </w:r>
      <w:r w:rsidR="00B404A9" w:rsidRPr="008739E5">
        <w:t xml:space="preserve"> </w:t>
      </w:r>
      <w:r w:rsidR="00B404A9" w:rsidRPr="008739E5">
        <w:rPr>
          <w:rFonts w:ascii="Sylfaen" w:hAnsi="Sylfaen" w:cs="Sylfaen"/>
        </w:rPr>
        <w:t>ღონისძიებების</w:t>
      </w:r>
      <w:r w:rsidR="00B404A9" w:rsidRPr="008739E5">
        <w:t xml:space="preserve"> </w:t>
      </w:r>
      <w:r w:rsidR="00B404A9" w:rsidRPr="008739E5">
        <w:rPr>
          <w:rFonts w:ascii="Sylfaen" w:hAnsi="Sylfaen" w:cs="Sylfaen"/>
        </w:rPr>
        <w:t>შესახებ</w:t>
      </w:r>
      <w:r w:rsidR="00B404A9" w:rsidRPr="008739E5">
        <w:t xml:space="preserve">“ </w:t>
      </w:r>
      <w:r w:rsidR="00B404A9" w:rsidRPr="00041224">
        <w:rPr>
          <w:rFonts w:ascii="Sylfaen" w:hAnsi="Sylfaen"/>
          <w:lang w:val="ka-GE"/>
        </w:rPr>
        <w:t>2006 წლის 20 მარტის</w:t>
      </w:r>
      <w:r w:rsidR="00B404A9" w:rsidRPr="008739E5">
        <w:t xml:space="preserve"> </w:t>
      </w:r>
      <w:r w:rsidR="00B404A9" w:rsidRPr="008739E5">
        <w:rPr>
          <w:rFonts w:ascii="Sylfaen" w:hAnsi="Sylfaen" w:cs="Sylfaen"/>
        </w:rPr>
        <w:t>შეთანხმებაში</w:t>
      </w:r>
      <w:r w:rsidR="00B404A9" w:rsidRPr="008739E5">
        <w:t xml:space="preserve"> </w:t>
      </w:r>
      <w:r w:rsidR="00B404A9" w:rsidRPr="008739E5">
        <w:rPr>
          <w:rFonts w:ascii="Sylfaen" w:hAnsi="Sylfaen" w:cs="Sylfaen"/>
        </w:rPr>
        <w:t>ცვლილებების</w:t>
      </w:r>
      <w:r w:rsidR="00B404A9" w:rsidRPr="008739E5">
        <w:t xml:space="preserve"> </w:t>
      </w:r>
      <w:r w:rsidR="00B404A9" w:rsidRPr="008739E5">
        <w:rPr>
          <w:rFonts w:ascii="Sylfaen" w:hAnsi="Sylfaen" w:cs="Sylfaen"/>
        </w:rPr>
        <w:t>შეტანის</w:t>
      </w:r>
      <w:r w:rsidR="00B404A9" w:rsidRPr="008739E5">
        <w:t xml:space="preserve"> </w:t>
      </w:r>
      <w:r w:rsidR="00B404A9" w:rsidRPr="008739E5">
        <w:rPr>
          <w:rFonts w:ascii="Sylfaen" w:hAnsi="Sylfaen" w:cs="Sylfaen"/>
        </w:rPr>
        <w:t>თაობაზე</w:t>
      </w:r>
      <w:r w:rsidR="00B404A9" w:rsidRPr="008739E5">
        <w:t xml:space="preserve">“ </w:t>
      </w:r>
      <w:r w:rsidR="00B404A9" w:rsidRPr="008739E5">
        <w:rPr>
          <w:rFonts w:ascii="Sylfaen" w:hAnsi="Sylfaen" w:cs="Sylfaen"/>
        </w:rPr>
        <w:t>შეთანხმების</w:t>
      </w:r>
      <w:r w:rsidR="00B404A9" w:rsidRPr="008739E5">
        <w:t xml:space="preserve"> </w:t>
      </w:r>
      <w:r w:rsidR="00B404A9" w:rsidRPr="008739E5">
        <w:rPr>
          <w:rFonts w:ascii="Sylfaen" w:hAnsi="Sylfaen" w:cs="Sylfaen"/>
        </w:rPr>
        <w:t>შესაბამისად</w:t>
      </w:r>
      <w:r w:rsidR="00B404A9" w:rsidRPr="008739E5">
        <w:t xml:space="preserve">. </w:t>
      </w:r>
    </w:p>
    <w:p w:rsidR="00C50CA0" w:rsidRPr="00C50CA0" w:rsidRDefault="002A01C6" w:rsidP="00C50C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8739E5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202</w:t>
      </w:r>
      <w:r>
        <w:rPr>
          <w:rFonts w:ascii="Sylfaen" w:hAnsi="Sylfaen" w:cs="Sylfaen"/>
          <w:szCs w:val="21"/>
          <w:shd w:val="clear" w:color="auto" w:fill="FFFFFF"/>
        </w:rPr>
        <w:t>2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Pr="00C50CA0">
        <w:rPr>
          <w:rFonts w:ascii="Sylfaen" w:hAnsi="Sylfaen" w:cs="Sylfaen"/>
        </w:rPr>
        <w:t>სახელმწიფო ბიუჯეტის პროექტით გათვალისწინებულია 525 000.0 ათასი ლარი.</w:t>
      </w:r>
    </w:p>
    <w:p w:rsidR="00B404A9" w:rsidRDefault="00B404A9" w:rsidP="00C50C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C50CA0">
        <w:rPr>
          <w:rFonts w:ascii="Sylfaen" w:hAnsi="Sylfaen" w:cs="Sylfaen"/>
        </w:rPr>
        <w:t>202</w:t>
      </w:r>
      <w:r w:rsidR="002A01C6" w:rsidRPr="00C50CA0">
        <w:rPr>
          <w:rFonts w:ascii="Sylfaen" w:hAnsi="Sylfaen" w:cs="Sylfaen"/>
        </w:rPr>
        <w:t>2</w:t>
      </w:r>
      <w:r w:rsidRPr="00C50CA0">
        <w:rPr>
          <w:rFonts w:ascii="Sylfaen" w:hAnsi="Sylfaen" w:cs="Sylfaen"/>
        </w:rPr>
        <w:t xml:space="preserve"> </w:t>
      </w:r>
      <w:r w:rsidRPr="008739E5">
        <w:rPr>
          <w:rFonts w:ascii="Sylfaen" w:hAnsi="Sylfaen" w:cs="Sylfaen"/>
        </w:rPr>
        <w:t>წლის</w:t>
      </w:r>
      <w:r w:rsidRPr="00C50CA0">
        <w:rPr>
          <w:rFonts w:ascii="Sylfaen" w:hAnsi="Sylfaen" w:cs="Sylfaen"/>
        </w:rPr>
        <w:t xml:space="preserve"> </w:t>
      </w:r>
      <w:r w:rsidRPr="008739E5">
        <w:rPr>
          <w:rFonts w:ascii="Sylfaen" w:hAnsi="Sylfaen" w:cs="Sylfaen"/>
        </w:rPr>
        <w:t>სახელმწიფო</w:t>
      </w:r>
      <w:r w:rsidRPr="008739E5">
        <w:t xml:space="preserve"> </w:t>
      </w:r>
      <w:r w:rsidRPr="008739E5">
        <w:rPr>
          <w:rFonts w:ascii="Sylfaen" w:hAnsi="Sylfaen" w:cs="Sylfaen"/>
        </w:rPr>
        <w:t>ბიუჯეტის</w:t>
      </w:r>
      <w:r w:rsidRPr="008739E5">
        <w:t xml:space="preserve"> </w:t>
      </w:r>
      <w:r w:rsidRPr="008739E5">
        <w:rPr>
          <w:rFonts w:ascii="Sylfaen" w:hAnsi="Sylfaen" w:cs="Sylfaen"/>
        </w:rPr>
        <w:t>კანონის</w:t>
      </w:r>
      <w:r w:rsidRPr="008739E5">
        <w:t xml:space="preserve"> </w:t>
      </w:r>
      <w:r w:rsidRPr="008739E5">
        <w:rPr>
          <w:rFonts w:ascii="Sylfaen" w:hAnsi="Sylfaen" w:cs="Sylfaen"/>
        </w:rPr>
        <w:t>პროექტით</w:t>
      </w:r>
      <w:r w:rsidRPr="008739E5">
        <w:t xml:space="preserve"> </w:t>
      </w:r>
      <w:r w:rsidRPr="008739E5">
        <w:rPr>
          <w:rFonts w:ascii="Sylfaen" w:hAnsi="Sylfaen" w:cs="Sylfaen"/>
        </w:rPr>
        <w:t>განსაზღვრული</w:t>
      </w:r>
      <w:r w:rsidRPr="008739E5">
        <w:t xml:space="preserve"> </w:t>
      </w:r>
      <w:r w:rsidRPr="008739E5">
        <w:rPr>
          <w:rFonts w:ascii="Sylfaen" w:hAnsi="Sylfaen" w:cs="Sylfaen"/>
        </w:rPr>
        <w:t>საგარეო</w:t>
      </w:r>
      <w:r w:rsidRPr="008739E5">
        <w:t xml:space="preserve"> </w:t>
      </w:r>
      <w:r w:rsidRPr="008739E5">
        <w:rPr>
          <w:rFonts w:ascii="Sylfaen" w:hAnsi="Sylfaen" w:cs="Sylfaen"/>
        </w:rPr>
        <w:t>და</w:t>
      </w:r>
      <w:r w:rsidRPr="008739E5">
        <w:t xml:space="preserve"> </w:t>
      </w:r>
      <w:r w:rsidRPr="008739E5">
        <w:rPr>
          <w:rFonts w:ascii="Sylfaen" w:hAnsi="Sylfaen" w:cs="Sylfaen"/>
        </w:rPr>
        <w:t>საშინაო</w:t>
      </w:r>
      <w:r w:rsidRPr="008739E5">
        <w:t xml:space="preserve"> </w:t>
      </w:r>
      <w:r w:rsidRPr="008739E5">
        <w:rPr>
          <w:rFonts w:ascii="Sylfaen" w:hAnsi="Sylfaen" w:cs="Sylfaen"/>
        </w:rPr>
        <w:t>ვალის</w:t>
      </w:r>
      <w:r w:rsidRPr="008739E5">
        <w:t xml:space="preserve"> </w:t>
      </w:r>
      <w:r w:rsidRPr="008739E5">
        <w:rPr>
          <w:rFonts w:ascii="Sylfaen" w:hAnsi="Sylfaen" w:cs="Sylfaen"/>
        </w:rPr>
        <w:t>პარამეტრები</w:t>
      </w:r>
      <w:r w:rsidRPr="008739E5">
        <w:t xml:space="preserve"> </w:t>
      </w:r>
      <w:r w:rsidRPr="008739E5">
        <w:rPr>
          <w:rFonts w:ascii="Sylfaen" w:hAnsi="Sylfaen" w:cs="Sylfaen"/>
        </w:rPr>
        <w:t>უზრუნველყოფენ</w:t>
      </w:r>
      <w:r w:rsidRPr="008739E5">
        <w:t xml:space="preserve"> </w:t>
      </w:r>
      <w:r w:rsidRPr="008739E5">
        <w:rPr>
          <w:rFonts w:ascii="Sylfaen" w:hAnsi="Sylfaen" w:cs="Sylfaen"/>
        </w:rPr>
        <w:t>სახელმწიფო</w:t>
      </w:r>
      <w:r w:rsidRPr="008739E5">
        <w:t xml:space="preserve"> </w:t>
      </w:r>
      <w:r w:rsidRPr="008739E5">
        <w:rPr>
          <w:rFonts w:ascii="Sylfaen" w:hAnsi="Sylfaen" w:cs="Sylfaen"/>
        </w:rPr>
        <w:t>ვალის</w:t>
      </w:r>
      <w:r w:rsidRPr="008739E5">
        <w:t xml:space="preserve"> </w:t>
      </w:r>
      <w:r w:rsidRPr="008739E5">
        <w:rPr>
          <w:rFonts w:ascii="Sylfaen" w:hAnsi="Sylfaen" w:cs="Sylfaen"/>
        </w:rPr>
        <w:t>მდგრადობის</w:t>
      </w:r>
      <w:r w:rsidRPr="008739E5">
        <w:t xml:space="preserve"> </w:t>
      </w:r>
      <w:r w:rsidRPr="008739E5">
        <w:rPr>
          <w:rFonts w:ascii="Sylfaen" w:hAnsi="Sylfaen" w:cs="Sylfaen"/>
        </w:rPr>
        <w:t>შენარჩუნებას</w:t>
      </w:r>
      <w:r w:rsidRPr="008739E5">
        <w:t xml:space="preserve"> </w:t>
      </w:r>
      <w:r w:rsidRPr="008739E5">
        <w:rPr>
          <w:rFonts w:ascii="Sylfaen" w:hAnsi="Sylfaen" w:cs="Sylfaen"/>
        </w:rPr>
        <w:t>საშუალოვადიან</w:t>
      </w:r>
      <w:r w:rsidRPr="008739E5">
        <w:t xml:space="preserve"> </w:t>
      </w:r>
      <w:r w:rsidRPr="008739E5">
        <w:rPr>
          <w:rFonts w:ascii="Sylfaen" w:hAnsi="Sylfaen" w:cs="Sylfaen"/>
        </w:rPr>
        <w:t>პერიოდში</w:t>
      </w:r>
      <w:r w:rsidRPr="008739E5">
        <w:rPr>
          <w:rFonts w:ascii="Sylfaen" w:hAnsi="Sylfaen" w:cs="Sylfaen"/>
          <w:lang w:val="ka-GE"/>
        </w:rPr>
        <w:t>.</w:t>
      </w:r>
    </w:p>
    <w:p w:rsidR="00396821" w:rsidRPr="00B73E97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FE1A0F" w:rsidRDefault="00FE1A0F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2A01C6">
        <w:rPr>
          <w:rFonts w:ascii="Sylfaen" w:hAnsi="Sylfaen"/>
          <w:b/>
        </w:rPr>
        <w:t>2</w:t>
      </w:r>
      <w:r w:rsidRPr="00B73E97">
        <w:rPr>
          <w:rFonts w:ascii="Sylfaen" w:hAnsi="Sylfaen"/>
          <w:b/>
          <w:lang w:val="ka-GE"/>
        </w:rPr>
        <w:t xml:space="preserve"> წლის ბოლოსთვის</w:t>
      </w:r>
    </w:p>
    <w:p w:rsidR="00BB0398" w:rsidRPr="00BB0398" w:rsidRDefault="00BB0398" w:rsidP="00B03B65">
      <w:pPr>
        <w:tabs>
          <w:tab w:val="left" w:pos="720"/>
          <w:tab w:val="left" w:pos="9360"/>
        </w:tabs>
        <w:spacing w:after="0" w:line="240" w:lineRule="auto"/>
        <w:ind w:right="693"/>
        <w:jc w:val="right"/>
        <w:rPr>
          <w:rFonts w:ascii="Sylfaen" w:hAnsi="Sylfaen"/>
          <w:b/>
          <w:i/>
          <w:sz w:val="18"/>
          <w:szCs w:val="18"/>
          <w:lang w:val="ka-GE"/>
        </w:rPr>
      </w:pPr>
      <w:r w:rsidRPr="00BB0398">
        <w:rPr>
          <w:rFonts w:ascii="Sylfaen" w:hAnsi="Sylfaen"/>
          <w:b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18"/>
        <w:gridCol w:w="2025"/>
      </w:tblGrid>
      <w:tr w:rsidR="00B03B65" w:rsidRPr="0040412C" w:rsidTr="0040412C">
        <w:trPr>
          <w:trHeight w:hRule="exact" w:val="583"/>
          <w:tblHeader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bookmarkStart w:id="0" w:name="RANGE!B2:C40"/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კრედიტორი</w:t>
            </w:r>
            <w:bookmarkEnd w:id="0"/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საპროგნოზო  ნაშთი 31.12.2022</w:t>
            </w:r>
          </w:p>
        </w:tc>
      </w:tr>
      <w:tr w:rsidR="00B03B65" w:rsidRPr="0040412C" w:rsidTr="0040412C">
        <w:trPr>
          <w:trHeight w:hRule="exact" w:val="448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17448F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 xml:space="preserve">სულ </w:t>
            </w:r>
            <w:r w:rsidR="0017448F"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  <w:lang w:val="ka-GE"/>
              </w:rPr>
              <w:t>მთავრობის</w:t>
            </w: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 xml:space="preserve"> საგარეო  ვალის </w:t>
            </w: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  <w:lang w:val="ka-GE"/>
              </w:rPr>
              <w:t>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26,023,081.2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მრავალმხრივი 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18,966,845.7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მსოფლიო ბანკი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6,562,285.5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126,870.3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საერთაშორისო სავალუტო ფონდი (IMF)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637,843.5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ევროპის რეკონსტრუქციისა და განვითარების ბანკი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984,436.9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აზიის განვითარების ბანკი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6,605,865.0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ევროპის საინვესტიციო ბანკი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2,888,337.7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ევროკავშირი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464,529.1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აზიის ინფრასტრუქტურის საინვესტიციო ბანკი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646,751.0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ევროსაბჭოს განვითარების ბანკი (CEB)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41,842.3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სკანდინავიური გარემოსდაცვის საფინანსო კორპორაცია (NEFCO)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8,084.4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ორმხრივი 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5,495,776.4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ავსტრია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46,550.3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აზერბაიჯანი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10,085.9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თურქმენეთი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657.0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თურქეთი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19,639.1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ირანი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7,356.8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რუსეთი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68,940.3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სომხეთი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8,897.0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ყაზახეთი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10,971.1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2,065,823.5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იაპონია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558,646.2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კუვეიტი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56,056.6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ნიდერლანდები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232.7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ამერიკა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33,809.5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საფრანგეთი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2,608,110.3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სხვა საგარეო 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1,556,450.0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ევრობონდი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1,556,450.0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სახელმწიფო გარანტიით აღებული კრედიტები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4,009.1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4,009.1</w:t>
            </w:r>
          </w:p>
        </w:tc>
      </w:tr>
      <w:tr w:rsidR="00B03B65" w:rsidRPr="0040412C" w:rsidTr="0040412C">
        <w:trPr>
          <w:trHeight w:hRule="exact" w:val="43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17448F" w:rsidP="00B03B65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  <w:lang w:val="ka-GE"/>
              </w:rPr>
              <w:t>მთავრობის</w:t>
            </w:r>
            <w:r w:rsidR="00B03B65"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 xml:space="preserve"> საშინაო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7,100,296.6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ეროვნული ბანკისთვის განკუთვნილი ერთწლიანი ყოველწლიურად განახლებადი სახელმწიფო ობლიგაცია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120,846.0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სხვადასხვა ვადის სახელმწიფო ობლიგაციები ღია ბაზრის ოპერაციებისთვის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152,000.0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ფინანსთა სამინისტროს სახაზინო 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610,520.4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ფინანსთა სამინისტროს სახაზინო ობლიგაციები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6,181,930.3</w:t>
            </w:r>
          </w:p>
        </w:tc>
      </w:tr>
      <w:tr w:rsidR="00B03B65" w:rsidRPr="0040412C" w:rsidTr="0040412C">
        <w:trPr>
          <w:trHeight w:hRule="exact" w:val="25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საბიუჯეტო ორგანიზაციების სესხის სახით არსებული ვალი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color w:val="000000"/>
                <w:sz w:val="20"/>
                <w:szCs w:val="20"/>
              </w:rPr>
              <w:t>35,000.0</w:t>
            </w:r>
          </w:p>
        </w:tc>
      </w:tr>
      <w:tr w:rsidR="00B03B65" w:rsidRPr="0040412C" w:rsidTr="0040412C">
        <w:trPr>
          <w:trHeight w:hRule="exact" w:val="403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17448F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 xml:space="preserve">სულ </w:t>
            </w:r>
            <w:r w:rsidR="0017448F"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  <w:lang w:val="ka-GE"/>
              </w:rPr>
              <w:t>მთავრობის</w:t>
            </w: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 xml:space="preserve">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03B65" w:rsidRPr="0040412C" w:rsidRDefault="00B03B65" w:rsidP="00B03B6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color w:val="000000"/>
                <w:sz w:val="20"/>
                <w:szCs w:val="20"/>
              </w:rPr>
              <w:t>33,123,377.8</w:t>
            </w:r>
          </w:p>
        </w:tc>
      </w:tr>
    </w:tbl>
    <w:p w:rsidR="00B93A56" w:rsidRDefault="00B93A56" w:rsidP="003B0642">
      <w:pPr>
        <w:spacing w:after="0" w:line="240" w:lineRule="auto"/>
        <w:jc w:val="right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:rsidR="005406F9" w:rsidRDefault="005406F9" w:rsidP="003B0642">
      <w:pPr>
        <w:spacing w:after="0" w:line="240" w:lineRule="auto"/>
        <w:jc w:val="right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:rsidR="00FB7087" w:rsidRPr="00B73E97" w:rsidRDefault="005406F9" w:rsidP="000979F0">
      <w:pPr>
        <w:spacing w:after="0" w:line="240" w:lineRule="auto"/>
        <w:ind w:right="243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5406F9">
        <w:rPr>
          <w:rFonts w:ascii="Sylfaen" w:hAnsi="Sylfaen"/>
          <w:sz w:val="16"/>
          <w:szCs w:val="16"/>
          <w:lang w:val="ka-GE"/>
        </w:rPr>
        <w:t xml:space="preserve"> </w:t>
      </w:r>
      <w:r w:rsidR="000979F0" w:rsidRPr="000979F0">
        <w:rPr>
          <w:rFonts w:ascii="Sylfaen" w:hAnsi="Sylfaen"/>
          <w:sz w:val="16"/>
          <w:szCs w:val="16"/>
          <w:lang w:val="ka-GE"/>
        </w:rPr>
        <w:t xml:space="preserve"> გამოთვლისას გამოყენებულია 2021 წლის</w:t>
      </w:r>
      <w:r w:rsidR="0065673F">
        <w:rPr>
          <w:rFonts w:ascii="Sylfaen" w:hAnsi="Sylfaen"/>
          <w:sz w:val="16"/>
          <w:szCs w:val="16"/>
          <w:lang w:val="ka-GE"/>
        </w:rPr>
        <w:t xml:space="preserve"> 26</w:t>
      </w:r>
      <w:r w:rsidR="000979F0" w:rsidRPr="000979F0">
        <w:rPr>
          <w:rFonts w:ascii="Sylfaen" w:hAnsi="Sylfaen"/>
          <w:sz w:val="16"/>
          <w:szCs w:val="16"/>
          <w:lang w:val="ka-GE"/>
        </w:rPr>
        <w:t xml:space="preserve"> ნოემბრის გაცვლითი კურსი  1 EUR = 3.</w:t>
      </w:r>
      <w:r w:rsidR="0065673F">
        <w:rPr>
          <w:rFonts w:ascii="Sylfaen" w:hAnsi="Sylfaen"/>
          <w:sz w:val="16"/>
          <w:szCs w:val="16"/>
        </w:rPr>
        <w:t>4927</w:t>
      </w:r>
      <w:r w:rsidR="000979F0" w:rsidRPr="000979F0">
        <w:rPr>
          <w:rFonts w:ascii="Sylfaen" w:hAnsi="Sylfaen"/>
          <w:sz w:val="16"/>
          <w:szCs w:val="16"/>
          <w:lang w:val="ka-GE"/>
        </w:rPr>
        <w:t xml:space="preserve"> GEL; 1 SDR = 4.</w:t>
      </w:r>
      <w:r w:rsidR="0065673F">
        <w:rPr>
          <w:rFonts w:ascii="Sylfaen" w:hAnsi="Sylfaen"/>
          <w:sz w:val="16"/>
          <w:szCs w:val="16"/>
        </w:rPr>
        <w:t>3391</w:t>
      </w:r>
      <w:r w:rsidR="000979F0" w:rsidRPr="000979F0">
        <w:rPr>
          <w:rFonts w:ascii="Sylfaen" w:hAnsi="Sylfaen"/>
          <w:sz w:val="16"/>
          <w:szCs w:val="16"/>
          <w:lang w:val="ka-GE"/>
        </w:rPr>
        <w:t xml:space="preserve"> GEL; 10 CNY = 4.</w:t>
      </w:r>
      <w:r w:rsidR="0065673F">
        <w:rPr>
          <w:rFonts w:ascii="Sylfaen" w:hAnsi="Sylfaen"/>
          <w:sz w:val="16"/>
          <w:szCs w:val="16"/>
        </w:rPr>
        <w:t>874</w:t>
      </w:r>
      <w:r w:rsidR="000979F0" w:rsidRPr="000979F0">
        <w:rPr>
          <w:rFonts w:ascii="Sylfaen" w:hAnsi="Sylfaen"/>
          <w:sz w:val="16"/>
          <w:szCs w:val="16"/>
          <w:lang w:val="ka-GE"/>
        </w:rPr>
        <w:t xml:space="preserve"> GEL; 100 JPY = 2.</w:t>
      </w:r>
      <w:r w:rsidR="0065673F">
        <w:rPr>
          <w:rFonts w:ascii="Sylfaen" w:hAnsi="Sylfaen"/>
          <w:sz w:val="16"/>
          <w:szCs w:val="16"/>
        </w:rPr>
        <w:t>6984</w:t>
      </w:r>
      <w:r w:rsidR="000979F0" w:rsidRPr="000979F0">
        <w:rPr>
          <w:rFonts w:ascii="Sylfaen" w:hAnsi="Sylfaen"/>
          <w:sz w:val="16"/>
          <w:szCs w:val="16"/>
          <w:lang w:val="ka-GE"/>
        </w:rPr>
        <w:t xml:space="preserve"> GEL; 1 KWD = 10.</w:t>
      </w:r>
      <w:r w:rsidR="0065673F">
        <w:rPr>
          <w:rFonts w:ascii="Sylfaen" w:hAnsi="Sylfaen"/>
          <w:sz w:val="16"/>
          <w:szCs w:val="16"/>
        </w:rPr>
        <w:t>2736</w:t>
      </w:r>
      <w:r w:rsidR="000979F0" w:rsidRPr="000979F0">
        <w:rPr>
          <w:rFonts w:ascii="Sylfaen" w:hAnsi="Sylfaen"/>
          <w:sz w:val="16"/>
          <w:szCs w:val="16"/>
          <w:lang w:val="ka-GE"/>
        </w:rPr>
        <w:t xml:space="preserve"> GEL; 1 USD = 3.</w:t>
      </w:r>
      <w:r w:rsidR="0065673F">
        <w:rPr>
          <w:rFonts w:ascii="Sylfaen" w:hAnsi="Sylfaen"/>
          <w:sz w:val="16"/>
          <w:szCs w:val="16"/>
        </w:rPr>
        <w:t>1129</w:t>
      </w:r>
      <w:r w:rsidR="000979F0" w:rsidRPr="000979F0">
        <w:rPr>
          <w:rFonts w:ascii="Sylfaen" w:hAnsi="Sylfaen"/>
          <w:sz w:val="16"/>
          <w:szCs w:val="16"/>
          <w:lang w:val="ka-GE"/>
        </w:rPr>
        <w:t xml:space="preserve"> GEL.</w:t>
      </w:r>
      <w:r w:rsidR="00484C3A">
        <w:rPr>
          <w:rFonts w:ascii="Sylfaen" w:hAnsi="Sylfaen"/>
          <w:b/>
          <w:i/>
          <w:noProof/>
          <w:color w:val="000000"/>
          <w:sz w:val="18"/>
          <w:szCs w:val="18"/>
        </w:rPr>
        <w:br w:type="textWrapping" w:clear="all"/>
      </w:r>
      <w:r w:rsidR="00AD59D0" w:rsidRPr="00B73E97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53506B" w:rsidRPr="00B73E97" w:rsidRDefault="0053506B" w:rsidP="00484C3A">
      <w:pPr>
        <w:spacing w:after="0" w:line="240" w:lineRule="auto"/>
        <w:rPr>
          <w:rFonts w:ascii="Sylfaen" w:hAnsi="Sylfaen" w:cs="Sylfaen"/>
          <w:color w:val="FF0000"/>
          <w:sz w:val="18"/>
        </w:rPr>
      </w:pPr>
    </w:p>
    <w:sectPr w:rsidR="0053506B" w:rsidRPr="00B73E97" w:rsidSect="002E358C">
      <w:footerReference w:type="default" r:id="rId11"/>
      <w:footerReference w:type="first" r:id="rId12"/>
      <w:pgSz w:w="11907" w:h="16839" w:code="9"/>
      <w:pgMar w:top="426" w:right="1134" w:bottom="1134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EF" w:rsidRDefault="00A868EF" w:rsidP="00400BED">
      <w:pPr>
        <w:spacing w:after="0" w:line="240" w:lineRule="auto"/>
      </w:pPr>
      <w:r>
        <w:separator/>
      </w:r>
    </w:p>
  </w:endnote>
  <w:endnote w:type="continuationSeparator" w:id="0">
    <w:p w:rsidR="00A868EF" w:rsidRDefault="00A868EF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52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BC6" w:rsidRDefault="007C4B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4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E2849" w:rsidRDefault="00DE2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69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69B4" w:rsidRDefault="008869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1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2849" w:rsidRDefault="00DE2849" w:rsidP="00886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EF" w:rsidRDefault="00A868EF" w:rsidP="00400BED">
      <w:pPr>
        <w:spacing w:after="0" w:line="240" w:lineRule="auto"/>
      </w:pPr>
      <w:r>
        <w:separator/>
      </w:r>
    </w:p>
  </w:footnote>
  <w:footnote w:type="continuationSeparator" w:id="0">
    <w:p w:rsidR="00A868EF" w:rsidRDefault="00A868EF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B5"/>
    <w:multiLevelType w:val="hybridMultilevel"/>
    <w:tmpl w:val="BB66E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8505A"/>
    <w:multiLevelType w:val="hybridMultilevel"/>
    <w:tmpl w:val="C64042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7288"/>
    <w:rsid w:val="0002796C"/>
    <w:rsid w:val="00030A9F"/>
    <w:rsid w:val="00030CF6"/>
    <w:rsid w:val="00032625"/>
    <w:rsid w:val="000340AB"/>
    <w:rsid w:val="0003606D"/>
    <w:rsid w:val="000369D7"/>
    <w:rsid w:val="00036CFD"/>
    <w:rsid w:val="00037587"/>
    <w:rsid w:val="00037DB7"/>
    <w:rsid w:val="00040C4B"/>
    <w:rsid w:val="00041224"/>
    <w:rsid w:val="000413CE"/>
    <w:rsid w:val="00041D5B"/>
    <w:rsid w:val="00044F01"/>
    <w:rsid w:val="000458CE"/>
    <w:rsid w:val="00050EF1"/>
    <w:rsid w:val="0005462B"/>
    <w:rsid w:val="00054AB0"/>
    <w:rsid w:val="00057593"/>
    <w:rsid w:val="00063126"/>
    <w:rsid w:val="00063D27"/>
    <w:rsid w:val="00064717"/>
    <w:rsid w:val="00065901"/>
    <w:rsid w:val="00065AD3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979F0"/>
    <w:rsid w:val="000A05E4"/>
    <w:rsid w:val="000A1240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1BBD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FD3"/>
    <w:rsid w:val="00102D0F"/>
    <w:rsid w:val="00103D04"/>
    <w:rsid w:val="001055DA"/>
    <w:rsid w:val="00107030"/>
    <w:rsid w:val="00110A1B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1C5B"/>
    <w:rsid w:val="00153061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448F"/>
    <w:rsid w:val="001757D3"/>
    <w:rsid w:val="001763B0"/>
    <w:rsid w:val="00180F87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A4349"/>
    <w:rsid w:val="001B17E2"/>
    <w:rsid w:val="001B2633"/>
    <w:rsid w:val="001B4547"/>
    <w:rsid w:val="001B508D"/>
    <w:rsid w:val="001B5DAC"/>
    <w:rsid w:val="001C5235"/>
    <w:rsid w:val="001C5F44"/>
    <w:rsid w:val="001C7199"/>
    <w:rsid w:val="001D0A60"/>
    <w:rsid w:val="001D17B2"/>
    <w:rsid w:val="001D5195"/>
    <w:rsid w:val="001D5ADC"/>
    <w:rsid w:val="001D65B8"/>
    <w:rsid w:val="001D6905"/>
    <w:rsid w:val="001D7AFC"/>
    <w:rsid w:val="001E039B"/>
    <w:rsid w:val="001E1573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4105B"/>
    <w:rsid w:val="0024488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C50"/>
    <w:rsid w:val="00280FA2"/>
    <w:rsid w:val="00281A88"/>
    <w:rsid w:val="0028678E"/>
    <w:rsid w:val="0028789D"/>
    <w:rsid w:val="00291229"/>
    <w:rsid w:val="00291724"/>
    <w:rsid w:val="0029176A"/>
    <w:rsid w:val="00293858"/>
    <w:rsid w:val="0029394E"/>
    <w:rsid w:val="00294224"/>
    <w:rsid w:val="002A01C6"/>
    <w:rsid w:val="002A0BB1"/>
    <w:rsid w:val="002A2174"/>
    <w:rsid w:val="002A3C73"/>
    <w:rsid w:val="002A4263"/>
    <w:rsid w:val="002B1561"/>
    <w:rsid w:val="002B1FB3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7782"/>
    <w:rsid w:val="002C784F"/>
    <w:rsid w:val="002D0A51"/>
    <w:rsid w:val="002D15C8"/>
    <w:rsid w:val="002D16E4"/>
    <w:rsid w:val="002D22B9"/>
    <w:rsid w:val="002D596E"/>
    <w:rsid w:val="002D6813"/>
    <w:rsid w:val="002E358C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6CD"/>
    <w:rsid w:val="00317C22"/>
    <w:rsid w:val="00322857"/>
    <w:rsid w:val="0032483D"/>
    <w:rsid w:val="00324F96"/>
    <w:rsid w:val="00325994"/>
    <w:rsid w:val="0032795B"/>
    <w:rsid w:val="003303AF"/>
    <w:rsid w:val="0033211A"/>
    <w:rsid w:val="00332B60"/>
    <w:rsid w:val="003351F0"/>
    <w:rsid w:val="00341411"/>
    <w:rsid w:val="003419E6"/>
    <w:rsid w:val="003425D6"/>
    <w:rsid w:val="003430DD"/>
    <w:rsid w:val="00347FB5"/>
    <w:rsid w:val="00352E0D"/>
    <w:rsid w:val="003532BD"/>
    <w:rsid w:val="0035676A"/>
    <w:rsid w:val="00361883"/>
    <w:rsid w:val="00364196"/>
    <w:rsid w:val="0036419C"/>
    <w:rsid w:val="00365A49"/>
    <w:rsid w:val="00372A1B"/>
    <w:rsid w:val="00375F6E"/>
    <w:rsid w:val="00377B9F"/>
    <w:rsid w:val="003800EA"/>
    <w:rsid w:val="00382167"/>
    <w:rsid w:val="003838EC"/>
    <w:rsid w:val="00387352"/>
    <w:rsid w:val="0039166F"/>
    <w:rsid w:val="00395CE1"/>
    <w:rsid w:val="003967C1"/>
    <w:rsid w:val="00396821"/>
    <w:rsid w:val="003974FA"/>
    <w:rsid w:val="003A0E81"/>
    <w:rsid w:val="003A343D"/>
    <w:rsid w:val="003A4A93"/>
    <w:rsid w:val="003B0642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2FBC"/>
    <w:rsid w:val="003C3825"/>
    <w:rsid w:val="003C38B0"/>
    <w:rsid w:val="003C5914"/>
    <w:rsid w:val="003C60E3"/>
    <w:rsid w:val="003C633D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A7C"/>
    <w:rsid w:val="003F0548"/>
    <w:rsid w:val="003F208F"/>
    <w:rsid w:val="003F27BF"/>
    <w:rsid w:val="003F2860"/>
    <w:rsid w:val="003F3483"/>
    <w:rsid w:val="003F36B5"/>
    <w:rsid w:val="003F5CEB"/>
    <w:rsid w:val="003F6F77"/>
    <w:rsid w:val="003F711D"/>
    <w:rsid w:val="003F75A7"/>
    <w:rsid w:val="00400BED"/>
    <w:rsid w:val="004033E5"/>
    <w:rsid w:val="0040412C"/>
    <w:rsid w:val="00405A47"/>
    <w:rsid w:val="0040622C"/>
    <w:rsid w:val="0040699D"/>
    <w:rsid w:val="00406FEE"/>
    <w:rsid w:val="00410C40"/>
    <w:rsid w:val="0041135C"/>
    <w:rsid w:val="004117C8"/>
    <w:rsid w:val="004150CD"/>
    <w:rsid w:val="00416472"/>
    <w:rsid w:val="00421440"/>
    <w:rsid w:val="00421638"/>
    <w:rsid w:val="00424397"/>
    <w:rsid w:val="00425B8C"/>
    <w:rsid w:val="00425E7D"/>
    <w:rsid w:val="00426244"/>
    <w:rsid w:val="00427DC2"/>
    <w:rsid w:val="004324BD"/>
    <w:rsid w:val="00434625"/>
    <w:rsid w:val="00435096"/>
    <w:rsid w:val="00437E68"/>
    <w:rsid w:val="0044055F"/>
    <w:rsid w:val="00441218"/>
    <w:rsid w:val="0044178B"/>
    <w:rsid w:val="004439FD"/>
    <w:rsid w:val="00445CA6"/>
    <w:rsid w:val="004464CC"/>
    <w:rsid w:val="004572FA"/>
    <w:rsid w:val="004576F3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4C3A"/>
    <w:rsid w:val="004850D5"/>
    <w:rsid w:val="004855EF"/>
    <w:rsid w:val="00485FD9"/>
    <w:rsid w:val="00490B44"/>
    <w:rsid w:val="00493136"/>
    <w:rsid w:val="00496409"/>
    <w:rsid w:val="00497DE1"/>
    <w:rsid w:val="004A231E"/>
    <w:rsid w:val="004A3196"/>
    <w:rsid w:val="004A3DB0"/>
    <w:rsid w:val="004B0D09"/>
    <w:rsid w:val="004B1263"/>
    <w:rsid w:val="004B29BC"/>
    <w:rsid w:val="004B46E8"/>
    <w:rsid w:val="004B7573"/>
    <w:rsid w:val="004C0704"/>
    <w:rsid w:val="004C59A6"/>
    <w:rsid w:val="004D17A6"/>
    <w:rsid w:val="004D26F9"/>
    <w:rsid w:val="004D7B47"/>
    <w:rsid w:val="004E2497"/>
    <w:rsid w:val="004E3AB1"/>
    <w:rsid w:val="004E422E"/>
    <w:rsid w:val="004E767B"/>
    <w:rsid w:val="004F2321"/>
    <w:rsid w:val="004F2417"/>
    <w:rsid w:val="004F5AB2"/>
    <w:rsid w:val="0050185A"/>
    <w:rsid w:val="00501E22"/>
    <w:rsid w:val="00510802"/>
    <w:rsid w:val="005131CE"/>
    <w:rsid w:val="00515451"/>
    <w:rsid w:val="005165EB"/>
    <w:rsid w:val="005233E0"/>
    <w:rsid w:val="00523560"/>
    <w:rsid w:val="00527AC4"/>
    <w:rsid w:val="0053140C"/>
    <w:rsid w:val="0053399C"/>
    <w:rsid w:val="00534D33"/>
    <w:rsid w:val="0053506B"/>
    <w:rsid w:val="005370EC"/>
    <w:rsid w:val="005406F9"/>
    <w:rsid w:val="0054275A"/>
    <w:rsid w:val="00543222"/>
    <w:rsid w:val="00544450"/>
    <w:rsid w:val="00547406"/>
    <w:rsid w:val="005532C7"/>
    <w:rsid w:val="0055381D"/>
    <w:rsid w:val="0055654D"/>
    <w:rsid w:val="0056160F"/>
    <w:rsid w:val="00562F98"/>
    <w:rsid w:val="00564957"/>
    <w:rsid w:val="00564C7D"/>
    <w:rsid w:val="00567ACE"/>
    <w:rsid w:val="00570728"/>
    <w:rsid w:val="005708BF"/>
    <w:rsid w:val="00570A55"/>
    <w:rsid w:val="00570C98"/>
    <w:rsid w:val="00572781"/>
    <w:rsid w:val="00572A1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90695"/>
    <w:rsid w:val="00591512"/>
    <w:rsid w:val="00594033"/>
    <w:rsid w:val="00595CEE"/>
    <w:rsid w:val="00596075"/>
    <w:rsid w:val="005A44F5"/>
    <w:rsid w:val="005A5523"/>
    <w:rsid w:val="005B3272"/>
    <w:rsid w:val="005B3C35"/>
    <w:rsid w:val="005B498D"/>
    <w:rsid w:val="005B505D"/>
    <w:rsid w:val="005B5D38"/>
    <w:rsid w:val="005C0056"/>
    <w:rsid w:val="005C212A"/>
    <w:rsid w:val="005C33E2"/>
    <w:rsid w:val="005C3BE1"/>
    <w:rsid w:val="005C46D1"/>
    <w:rsid w:val="005D248B"/>
    <w:rsid w:val="005D3724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04E65"/>
    <w:rsid w:val="0061180A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673F"/>
    <w:rsid w:val="006578EC"/>
    <w:rsid w:val="00657A6F"/>
    <w:rsid w:val="00661B66"/>
    <w:rsid w:val="00663921"/>
    <w:rsid w:val="006663B1"/>
    <w:rsid w:val="00667DDB"/>
    <w:rsid w:val="006719E4"/>
    <w:rsid w:val="00673822"/>
    <w:rsid w:val="006776FE"/>
    <w:rsid w:val="0068034E"/>
    <w:rsid w:val="0068056A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EFF"/>
    <w:rsid w:val="0069693A"/>
    <w:rsid w:val="00696AF7"/>
    <w:rsid w:val="006A0EC7"/>
    <w:rsid w:val="006A1932"/>
    <w:rsid w:val="006A1E01"/>
    <w:rsid w:val="006A3476"/>
    <w:rsid w:val="006A41DE"/>
    <w:rsid w:val="006A47A2"/>
    <w:rsid w:val="006A493E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5CA9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50CD"/>
    <w:rsid w:val="0073687D"/>
    <w:rsid w:val="00737314"/>
    <w:rsid w:val="007449DE"/>
    <w:rsid w:val="00746294"/>
    <w:rsid w:val="007464DB"/>
    <w:rsid w:val="00746651"/>
    <w:rsid w:val="00750BCA"/>
    <w:rsid w:val="0075480C"/>
    <w:rsid w:val="00754C45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23EF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4BC6"/>
    <w:rsid w:val="007C56ED"/>
    <w:rsid w:val="007C7CC8"/>
    <w:rsid w:val="007D0242"/>
    <w:rsid w:val="007D1B10"/>
    <w:rsid w:val="007D2DE1"/>
    <w:rsid w:val="007D4E77"/>
    <w:rsid w:val="007D725C"/>
    <w:rsid w:val="007D7881"/>
    <w:rsid w:val="007E2AD7"/>
    <w:rsid w:val="007E57A9"/>
    <w:rsid w:val="007E711B"/>
    <w:rsid w:val="007E716B"/>
    <w:rsid w:val="007F2E76"/>
    <w:rsid w:val="007F2F53"/>
    <w:rsid w:val="007F3733"/>
    <w:rsid w:val="007F71FD"/>
    <w:rsid w:val="0080110D"/>
    <w:rsid w:val="0080503E"/>
    <w:rsid w:val="00806DA4"/>
    <w:rsid w:val="00810F1A"/>
    <w:rsid w:val="00812C36"/>
    <w:rsid w:val="008153BB"/>
    <w:rsid w:val="00816EE6"/>
    <w:rsid w:val="00816F67"/>
    <w:rsid w:val="008170FC"/>
    <w:rsid w:val="00817C42"/>
    <w:rsid w:val="0082056D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16A6"/>
    <w:rsid w:val="00844711"/>
    <w:rsid w:val="00844751"/>
    <w:rsid w:val="00846099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9E5"/>
    <w:rsid w:val="00873FD3"/>
    <w:rsid w:val="008756E6"/>
    <w:rsid w:val="0087661E"/>
    <w:rsid w:val="00880F7C"/>
    <w:rsid w:val="008811B5"/>
    <w:rsid w:val="00881898"/>
    <w:rsid w:val="0088487C"/>
    <w:rsid w:val="00885C87"/>
    <w:rsid w:val="008869B4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457A"/>
    <w:rsid w:val="008B589D"/>
    <w:rsid w:val="008B5C79"/>
    <w:rsid w:val="008B76C9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3790"/>
    <w:rsid w:val="009139F2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377BC"/>
    <w:rsid w:val="00941504"/>
    <w:rsid w:val="009453D8"/>
    <w:rsid w:val="00945C13"/>
    <w:rsid w:val="009515B0"/>
    <w:rsid w:val="009531BC"/>
    <w:rsid w:val="00953341"/>
    <w:rsid w:val="0096271C"/>
    <w:rsid w:val="00963628"/>
    <w:rsid w:val="0096590B"/>
    <w:rsid w:val="009660A9"/>
    <w:rsid w:val="0096735A"/>
    <w:rsid w:val="009734FB"/>
    <w:rsid w:val="00975967"/>
    <w:rsid w:val="00977CA1"/>
    <w:rsid w:val="0098115B"/>
    <w:rsid w:val="009816B7"/>
    <w:rsid w:val="00982850"/>
    <w:rsid w:val="00982E29"/>
    <w:rsid w:val="00986AAF"/>
    <w:rsid w:val="009917B8"/>
    <w:rsid w:val="00991B14"/>
    <w:rsid w:val="009925D7"/>
    <w:rsid w:val="00994CC0"/>
    <w:rsid w:val="00995A24"/>
    <w:rsid w:val="00997661"/>
    <w:rsid w:val="009A1016"/>
    <w:rsid w:val="009A2872"/>
    <w:rsid w:val="009A5FAB"/>
    <w:rsid w:val="009A7187"/>
    <w:rsid w:val="009A78B3"/>
    <w:rsid w:val="009A7CFF"/>
    <w:rsid w:val="009B1B48"/>
    <w:rsid w:val="009B5F0E"/>
    <w:rsid w:val="009B63F3"/>
    <w:rsid w:val="009B6F6F"/>
    <w:rsid w:val="009C1DED"/>
    <w:rsid w:val="009C3A0F"/>
    <w:rsid w:val="009C518D"/>
    <w:rsid w:val="009C6F6B"/>
    <w:rsid w:val="009C7461"/>
    <w:rsid w:val="009C7A0D"/>
    <w:rsid w:val="009D05FD"/>
    <w:rsid w:val="009D1D40"/>
    <w:rsid w:val="009D253F"/>
    <w:rsid w:val="009D383C"/>
    <w:rsid w:val="009D5407"/>
    <w:rsid w:val="009D575E"/>
    <w:rsid w:val="009D66CB"/>
    <w:rsid w:val="009D671A"/>
    <w:rsid w:val="009D6EA9"/>
    <w:rsid w:val="009D72B5"/>
    <w:rsid w:val="009D72DB"/>
    <w:rsid w:val="009E10CF"/>
    <w:rsid w:val="009E227F"/>
    <w:rsid w:val="009E33C4"/>
    <w:rsid w:val="009E49DA"/>
    <w:rsid w:val="009E5F2B"/>
    <w:rsid w:val="009F177E"/>
    <w:rsid w:val="009F1D79"/>
    <w:rsid w:val="009F31FB"/>
    <w:rsid w:val="009F6AC0"/>
    <w:rsid w:val="009F7E90"/>
    <w:rsid w:val="00A00FD9"/>
    <w:rsid w:val="00A04E5E"/>
    <w:rsid w:val="00A07391"/>
    <w:rsid w:val="00A1081B"/>
    <w:rsid w:val="00A10F90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5DB"/>
    <w:rsid w:val="00A45EB8"/>
    <w:rsid w:val="00A473CD"/>
    <w:rsid w:val="00A50002"/>
    <w:rsid w:val="00A5293F"/>
    <w:rsid w:val="00A552F9"/>
    <w:rsid w:val="00A56E3B"/>
    <w:rsid w:val="00A57273"/>
    <w:rsid w:val="00A62747"/>
    <w:rsid w:val="00A6278E"/>
    <w:rsid w:val="00A63967"/>
    <w:rsid w:val="00A65964"/>
    <w:rsid w:val="00A67E3A"/>
    <w:rsid w:val="00A67F51"/>
    <w:rsid w:val="00A710EC"/>
    <w:rsid w:val="00A73AAA"/>
    <w:rsid w:val="00A74699"/>
    <w:rsid w:val="00A751B7"/>
    <w:rsid w:val="00A761DC"/>
    <w:rsid w:val="00A770D1"/>
    <w:rsid w:val="00A8261D"/>
    <w:rsid w:val="00A8306F"/>
    <w:rsid w:val="00A84E8C"/>
    <w:rsid w:val="00A84FE6"/>
    <w:rsid w:val="00A854D8"/>
    <w:rsid w:val="00A85818"/>
    <w:rsid w:val="00A868EF"/>
    <w:rsid w:val="00A87F14"/>
    <w:rsid w:val="00A90B92"/>
    <w:rsid w:val="00A90C44"/>
    <w:rsid w:val="00A91823"/>
    <w:rsid w:val="00A93CD1"/>
    <w:rsid w:val="00A95725"/>
    <w:rsid w:val="00AA1660"/>
    <w:rsid w:val="00AB099E"/>
    <w:rsid w:val="00AB0A72"/>
    <w:rsid w:val="00AB0A84"/>
    <w:rsid w:val="00AB2633"/>
    <w:rsid w:val="00AB4534"/>
    <w:rsid w:val="00AB5A99"/>
    <w:rsid w:val="00AC1154"/>
    <w:rsid w:val="00AC1CC1"/>
    <w:rsid w:val="00AC21C9"/>
    <w:rsid w:val="00AC2209"/>
    <w:rsid w:val="00AC5A55"/>
    <w:rsid w:val="00AD0BC4"/>
    <w:rsid w:val="00AD2AF0"/>
    <w:rsid w:val="00AD2D43"/>
    <w:rsid w:val="00AD59D0"/>
    <w:rsid w:val="00AD5E57"/>
    <w:rsid w:val="00AD6A17"/>
    <w:rsid w:val="00AE3BBE"/>
    <w:rsid w:val="00AE55B0"/>
    <w:rsid w:val="00AF0662"/>
    <w:rsid w:val="00AF30B1"/>
    <w:rsid w:val="00AF5E40"/>
    <w:rsid w:val="00AF5FB1"/>
    <w:rsid w:val="00AF76B7"/>
    <w:rsid w:val="00AF7D69"/>
    <w:rsid w:val="00B02101"/>
    <w:rsid w:val="00B03B65"/>
    <w:rsid w:val="00B04108"/>
    <w:rsid w:val="00B04141"/>
    <w:rsid w:val="00B05903"/>
    <w:rsid w:val="00B06D70"/>
    <w:rsid w:val="00B07D01"/>
    <w:rsid w:val="00B118E0"/>
    <w:rsid w:val="00B12E23"/>
    <w:rsid w:val="00B13801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7708"/>
    <w:rsid w:val="00B90038"/>
    <w:rsid w:val="00B93A56"/>
    <w:rsid w:val="00B94CDE"/>
    <w:rsid w:val="00B95192"/>
    <w:rsid w:val="00B95528"/>
    <w:rsid w:val="00BA297C"/>
    <w:rsid w:val="00BA6094"/>
    <w:rsid w:val="00BB0398"/>
    <w:rsid w:val="00BB2C5D"/>
    <w:rsid w:val="00BB4019"/>
    <w:rsid w:val="00BC132A"/>
    <w:rsid w:val="00BC168E"/>
    <w:rsid w:val="00BC34B9"/>
    <w:rsid w:val="00BC505C"/>
    <w:rsid w:val="00BC5E24"/>
    <w:rsid w:val="00BC701E"/>
    <w:rsid w:val="00BC764D"/>
    <w:rsid w:val="00BC7F2B"/>
    <w:rsid w:val="00BD1D05"/>
    <w:rsid w:val="00BD1F4C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179A"/>
    <w:rsid w:val="00C0434C"/>
    <w:rsid w:val="00C0485E"/>
    <w:rsid w:val="00C04FBA"/>
    <w:rsid w:val="00C11D79"/>
    <w:rsid w:val="00C126E1"/>
    <w:rsid w:val="00C13117"/>
    <w:rsid w:val="00C1317E"/>
    <w:rsid w:val="00C136E3"/>
    <w:rsid w:val="00C15531"/>
    <w:rsid w:val="00C159A8"/>
    <w:rsid w:val="00C17F88"/>
    <w:rsid w:val="00C2136E"/>
    <w:rsid w:val="00C21AE9"/>
    <w:rsid w:val="00C23646"/>
    <w:rsid w:val="00C240B6"/>
    <w:rsid w:val="00C31756"/>
    <w:rsid w:val="00C31F7F"/>
    <w:rsid w:val="00C32166"/>
    <w:rsid w:val="00C3279B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0CA0"/>
    <w:rsid w:val="00C52BA0"/>
    <w:rsid w:val="00C574C4"/>
    <w:rsid w:val="00C622B8"/>
    <w:rsid w:val="00C644C6"/>
    <w:rsid w:val="00C6464F"/>
    <w:rsid w:val="00C66081"/>
    <w:rsid w:val="00C6765C"/>
    <w:rsid w:val="00C676F1"/>
    <w:rsid w:val="00C70518"/>
    <w:rsid w:val="00C715E6"/>
    <w:rsid w:val="00C73F59"/>
    <w:rsid w:val="00C74F29"/>
    <w:rsid w:val="00C757E0"/>
    <w:rsid w:val="00C75813"/>
    <w:rsid w:val="00C75C56"/>
    <w:rsid w:val="00C765DD"/>
    <w:rsid w:val="00C76853"/>
    <w:rsid w:val="00C80BCF"/>
    <w:rsid w:val="00C81C7D"/>
    <w:rsid w:val="00C90CBA"/>
    <w:rsid w:val="00C91918"/>
    <w:rsid w:val="00C92D73"/>
    <w:rsid w:val="00C9602D"/>
    <w:rsid w:val="00C969C1"/>
    <w:rsid w:val="00C9708E"/>
    <w:rsid w:val="00C97893"/>
    <w:rsid w:val="00C97F98"/>
    <w:rsid w:val="00CA3C14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2440"/>
    <w:rsid w:val="00CD352C"/>
    <w:rsid w:val="00CD3703"/>
    <w:rsid w:val="00CD6196"/>
    <w:rsid w:val="00CD7C57"/>
    <w:rsid w:val="00CE327F"/>
    <w:rsid w:val="00CE433A"/>
    <w:rsid w:val="00CE5649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42C"/>
    <w:rsid w:val="00D12397"/>
    <w:rsid w:val="00D12E76"/>
    <w:rsid w:val="00D207EF"/>
    <w:rsid w:val="00D21BD3"/>
    <w:rsid w:val="00D229A9"/>
    <w:rsid w:val="00D2609D"/>
    <w:rsid w:val="00D261E7"/>
    <w:rsid w:val="00D26939"/>
    <w:rsid w:val="00D26C1A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21CF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3FD8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9764D"/>
    <w:rsid w:val="00DA27F4"/>
    <w:rsid w:val="00DA2E3F"/>
    <w:rsid w:val="00DA3080"/>
    <w:rsid w:val="00DA395D"/>
    <w:rsid w:val="00DA516E"/>
    <w:rsid w:val="00DA521E"/>
    <w:rsid w:val="00DA5694"/>
    <w:rsid w:val="00DB0417"/>
    <w:rsid w:val="00DB15D9"/>
    <w:rsid w:val="00DB1C54"/>
    <w:rsid w:val="00DB276F"/>
    <w:rsid w:val="00DB2B66"/>
    <w:rsid w:val="00DB30DF"/>
    <w:rsid w:val="00DB657D"/>
    <w:rsid w:val="00DC24F5"/>
    <w:rsid w:val="00DC3604"/>
    <w:rsid w:val="00DC574F"/>
    <w:rsid w:val="00DD2856"/>
    <w:rsid w:val="00DD69EE"/>
    <w:rsid w:val="00DE18E6"/>
    <w:rsid w:val="00DE2849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2D44"/>
    <w:rsid w:val="00E07907"/>
    <w:rsid w:val="00E079D4"/>
    <w:rsid w:val="00E11336"/>
    <w:rsid w:val="00E165DE"/>
    <w:rsid w:val="00E17E10"/>
    <w:rsid w:val="00E20D5F"/>
    <w:rsid w:val="00E224DE"/>
    <w:rsid w:val="00E2344B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0B55"/>
    <w:rsid w:val="00E63052"/>
    <w:rsid w:val="00E658F5"/>
    <w:rsid w:val="00E676E5"/>
    <w:rsid w:val="00E705BE"/>
    <w:rsid w:val="00E7332D"/>
    <w:rsid w:val="00E736E9"/>
    <w:rsid w:val="00E77771"/>
    <w:rsid w:val="00E8165B"/>
    <w:rsid w:val="00E81BCB"/>
    <w:rsid w:val="00E844CA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69D4"/>
    <w:rsid w:val="00ED6B83"/>
    <w:rsid w:val="00EE1DA7"/>
    <w:rsid w:val="00EE4160"/>
    <w:rsid w:val="00EF0590"/>
    <w:rsid w:val="00EF46D7"/>
    <w:rsid w:val="00EF57DF"/>
    <w:rsid w:val="00F003A7"/>
    <w:rsid w:val="00F01A27"/>
    <w:rsid w:val="00F07891"/>
    <w:rsid w:val="00F106FA"/>
    <w:rsid w:val="00F114A8"/>
    <w:rsid w:val="00F1522E"/>
    <w:rsid w:val="00F163EB"/>
    <w:rsid w:val="00F1789E"/>
    <w:rsid w:val="00F213DA"/>
    <w:rsid w:val="00F225C9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A187E"/>
    <w:rsid w:val="00FA6ABC"/>
    <w:rsid w:val="00FA735A"/>
    <w:rsid w:val="00FA7488"/>
    <w:rsid w:val="00FA74FF"/>
    <w:rsid w:val="00FB01F8"/>
    <w:rsid w:val="00FB07AB"/>
    <w:rsid w:val="00FB3891"/>
    <w:rsid w:val="00FB5423"/>
    <w:rsid w:val="00FB7087"/>
    <w:rsid w:val="00FB723F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1A0F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5CA95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6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6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3548141632159754"/>
          <c:h val="0.8503996844953966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19%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მრავალმხრივი
59%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274952484387728"/>
                  <c:y val="-2.1195607128056283E-2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133522553866808"/>
                      <c:h val="0.2285350310940862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0.13604971792319065"/>
                  <c:y val="-3.5968365796382323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61148751761"/>
                      <c:h val="0.146412357239128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8524433764580517"/>
                  <c:y val="-1.1840670175295508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81%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9266662180048"/>
          <c:y val="0"/>
        </c:manualLayout>
      </c:layout>
      <c:overlay val="0"/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502344258249767E-2"/>
          <c:y val="0.25312899645933518"/>
          <c:w val="0.93710119568387285"/>
          <c:h val="0.74687100354066482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C7-4333-85A6-28A4B873D902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1C7-4333-85A6-28A4B873D902}"/>
              </c:ext>
            </c:extLst>
          </c:dPt>
          <c:dLbls>
            <c:dLbl>
              <c:idx val="0"/>
              <c:layout>
                <c:manualLayout>
                  <c:x val="-0.11590016613749321"/>
                  <c:y val="-0.1440158050097049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245171276667346"/>
                      <c:h val="0.310950694921524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C7-4333-85A6-28A4B873D902}"/>
                </c:ext>
              </c:extLst>
            </c:dLbl>
            <c:dLbl>
              <c:idx val="1"/>
              <c:layout>
                <c:manualLayout>
                  <c:x val="0.16597797070238013"/>
                  <c:y val="7.2538533354471593E-2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52199750-D3D4-4EF5-B2FB-1221535734FC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056781475048002"/>
                      <c:h val="0.299387127603708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1C7-4333-85A6-28A4B873D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GVT'!$L$40:$L$41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GVT'!$M$40:$M$41</c:f>
              <c:numCache>
                <c:formatCode>_(* #,##0_);_(* \(#,##0\);_(* "-"??_);_(@_)</c:formatCode>
                <c:ptCount val="2"/>
                <c:pt idx="0">
                  <c:v>3479814.3127420009</c:v>
                </c:pt>
                <c:pt idx="1">
                  <c:v>3257941.7071850006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C7-4333-85A6-28A4B873D90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366291485513895"/>
          <c:h val="0.7360549162123967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081-4972-AEE2-3808A9CB1816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081-4972-AEE2-3808A9CB1816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081-4972-AEE2-3808A9CB1816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CCA4667D-2301-4FC9-92CC-1995B007F7D7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50%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081-4972-AEE2-3808A9CB1816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A0EAEC30-4977-4293-B199-C1751B452A0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081-4972-AEE2-3808A9CB1816}"/>
                </c:ext>
              </c:extLst>
            </c:dLbl>
            <c:dLbl>
              <c:idx val="2"/>
              <c:layout>
                <c:manualLayout>
                  <c:x val="-0.11856446541340979"/>
                  <c:y val="0.19262160515865673"/>
                </c:manualLayout>
              </c:layout>
              <c:tx>
                <c:rich>
                  <a:bodyPr/>
                  <a:lstStyle/>
                  <a:p>
                    <a:fld id="{91897848-FE90-4144-9F93-24B4BFD9B6D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081-4972-AEE2-3808A9CB1816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081-4972-AEE2-3808A9CB181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GVT'!$M$51:$M$54</c:f>
              <c:numCache>
                <c:formatCode>0%</c:formatCode>
                <c:ptCount val="4"/>
                <c:pt idx="0">
                  <c:v>0.42030205467705289</c:v>
                </c:pt>
                <c:pt idx="1">
                  <c:v>0.26883764891736539</c:v>
                </c:pt>
                <c:pt idx="2">
                  <c:v>0.27724464243367464</c:v>
                </c:pt>
                <c:pt idx="3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81-4972-AEE2-3808A9CB1816}"/>
            </c:ext>
          </c:extLst>
        </c:ser>
        <c:ser>
          <c:idx val="1"/>
          <c:order val="1"/>
          <c:explosion val="25"/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GVT'!$M$50:$M$54</c:f>
              <c:numCache>
                <c:formatCode>0%</c:formatCode>
                <c:ptCount val="5"/>
                <c:pt idx="1">
                  <c:v>0.42030205467705289</c:v>
                </c:pt>
                <c:pt idx="2">
                  <c:v>0.26883764891736539</c:v>
                </c:pt>
                <c:pt idx="3">
                  <c:v>0.27724464243367464</c:v>
                </c:pt>
                <c:pt idx="4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81-4972-AEE2-3808A9CB18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0.22876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71"/>
          <a:ext cx="2048742" cy="302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E546-4008-42EE-81DA-3C3F20D9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7</cp:revision>
  <cp:lastPrinted>2019-04-25T08:10:00Z</cp:lastPrinted>
  <dcterms:created xsi:type="dcterms:W3CDTF">2021-11-28T14:14:00Z</dcterms:created>
  <dcterms:modified xsi:type="dcterms:W3CDTF">2021-12-02T09:31:00Z</dcterms:modified>
</cp:coreProperties>
</file>